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Guiding Package</w:t>
      </w:r>
    </w:p>
    <w:p w:rsidR="00000000" w:rsidDel="00000000" w:rsidP="00000000" w:rsidRDefault="00000000" w:rsidRPr="00000000" w14:paraId="00000002">
      <w:pPr>
        <w:spacing w:line="360"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3">
      <w:pPr>
        <w:spacing w:line="360" w:lineRule="auto"/>
        <w:jc w:val="left"/>
        <w:rPr>
          <w:rFonts w:ascii="Arial" w:cs="Arial" w:eastAsia="Arial" w:hAnsi="Arial"/>
          <w:b w:val="1"/>
        </w:rPr>
      </w:pPr>
      <w:r w:rsidDel="00000000" w:rsidR="00000000" w:rsidRPr="00000000">
        <w:rPr>
          <w:rFonts w:ascii="Arial" w:cs="Arial" w:eastAsia="Arial" w:hAnsi="Arial"/>
          <w:b w:val="1"/>
        </w:rPr>
        <w:drawing>
          <wp:inline distB="0" distT="0" distL="0" distR="0">
            <wp:extent cx="5543550" cy="1226776"/>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543550" cy="1226776"/>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spacing w:line="360" w:lineRule="auto"/>
        <w:jc w:val="center"/>
        <w:rPr>
          <w:rFonts w:ascii="Arial" w:cs="Arial" w:eastAsia="Arial" w:hAnsi="Arial"/>
          <w:b w:val="1"/>
          <w:sz w:val="16"/>
          <w:szCs w:val="16"/>
        </w:rPr>
      </w:pPr>
      <w:r w:rsidDel="00000000" w:rsidR="00000000" w:rsidRPr="00000000">
        <w:rPr>
          <w:rtl w:val="0"/>
        </w:rPr>
      </w:r>
    </w:p>
    <w:p w:rsidR="00000000" w:rsidDel="00000000" w:rsidP="00000000" w:rsidRDefault="00000000" w:rsidRPr="00000000" w14:paraId="00000005">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Oasis International School Model United Nations</w:t>
      </w:r>
      <w:r w:rsidDel="00000000" w:rsidR="00000000" w:rsidRPr="00000000">
        <w:rPr>
          <w:rtl w:val="0"/>
        </w:rPr>
      </w:r>
    </w:p>
    <w:p w:rsidR="00000000" w:rsidDel="00000000" w:rsidP="00000000" w:rsidRDefault="00000000" w:rsidRPr="00000000" w14:paraId="00000006">
      <w:pPr>
        <w:spacing w:line="360" w:lineRule="auto"/>
        <w:jc w:val="center"/>
        <w:rPr>
          <w:rFonts w:ascii="Arial" w:cs="Arial" w:eastAsia="Arial" w:hAnsi="Arial"/>
        </w:rPr>
      </w:pPr>
      <w:r w:rsidDel="00000000" w:rsidR="00000000" w:rsidRPr="00000000">
        <w:rPr>
          <w:rtl w:val="0"/>
        </w:rPr>
      </w:r>
    </w:p>
    <w:p w:rsidR="00000000" w:rsidDel="00000000" w:rsidP="00000000" w:rsidRDefault="00000000" w:rsidRPr="00000000" w14:paraId="00000007">
      <w:pPr>
        <w:spacing w:line="360" w:lineRule="auto"/>
        <w:jc w:val="center"/>
        <w:rPr>
          <w:rFonts w:ascii="Arial" w:cs="Arial" w:eastAsia="Arial" w:hAnsi="Arial"/>
        </w:rPr>
      </w:pPr>
      <w:r w:rsidDel="00000000" w:rsidR="00000000" w:rsidRPr="00000000">
        <w:rPr>
          <w:rtl w:val="0"/>
        </w:rPr>
      </w:r>
    </w:p>
    <w:p w:rsidR="00000000" w:rsidDel="00000000" w:rsidP="00000000" w:rsidRDefault="00000000" w:rsidRPr="00000000" w14:paraId="00000008">
      <w:pPr>
        <w:spacing w:line="360" w:lineRule="auto"/>
        <w:jc w:val="center"/>
        <w:rPr>
          <w:rFonts w:ascii="Arial" w:cs="Arial" w:eastAsia="Arial" w:hAnsi="Arial"/>
        </w:rPr>
      </w:pPr>
      <w:r w:rsidDel="00000000" w:rsidR="00000000" w:rsidRPr="00000000">
        <w:rPr>
          <w:rtl w:val="0"/>
        </w:rPr>
      </w:r>
    </w:p>
    <w:p w:rsidR="00000000" w:rsidDel="00000000" w:rsidP="00000000" w:rsidRDefault="00000000" w:rsidRPr="00000000" w14:paraId="00000009">
      <w:pPr>
        <w:spacing w:line="360" w:lineRule="auto"/>
        <w:jc w:val="center"/>
        <w:rPr>
          <w:rFonts w:ascii="Arial" w:cs="Arial" w:eastAsia="Arial" w:hAnsi="Arial"/>
        </w:rPr>
      </w:pPr>
      <w:r w:rsidDel="00000000" w:rsidR="00000000" w:rsidRPr="00000000">
        <w:rPr>
          <w:rFonts w:ascii="Arial" w:cs="Arial" w:eastAsia="Arial" w:hAnsi="Arial"/>
          <w:rtl w:val="0"/>
        </w:rPr>
        <w:t xml:space="preserve">The International Court of Justice</w:t>
      </w:r>
    </w:p>
    <w:p w:rsidR="00000000" w:rsidDel="00000000" w:rsidP="00000000" w:rsidRDefault="00000000" w:rsidRPr="00000000" w14:paraId="0000000A">
      <w:pPr>
        <w:spacing w:line="360" w:lineRule="auto"/>
        <w:jc w:val="left"/>
        <w:rPr>
          <w:rFonts w:ascii="Arial" w:cs="Arial" w:eastAsia="Arial" w:hAnsi="Arial"/>
        </w:rPr>
      </w:pPr>
      <w:r w:rsidDel="00000000" w:rsidR="00000000" w:rsidRPr="00000000">
        <w:rPr>
          <w:rtl w:val="0"/>
        </w:rPr>
      </w:r>
    </w:p>
    <w:p w:rsidR="00000000" w:rsidDel="00000000" w:rsidP="00000000" w:rsidRDefault="00000000" w:rsidRPr="00000000" w14:paraId="0000000B">
      <w:pPr>
        <w:spacing w:line="360" w:lineRule="auto"/>
        <w:jc w:val="left"/>
        <w:rPr>
          <w:rFonts w:ascii="Arial" w:cs="Arial" w:eastAsia="Arial" w:hAnsi="Arial"/>
        </w:rPr>
      </w:pPr>
      <w:r w:rsidDel="00000000" w:rsidR="00000000" w:rsidRPr="00000000">
        <w:rPr>
          <w:rtl w:val="0"/>
        </w:rPr>
      </w:r>
    </w:p>
    <w:p w:rsidR="00000000" w:rsidDel="00000000" w:rsidP="00000000" w:rsidRDefault="00000000" w:rsidRPr="00000000" w14:paraId="0000000C">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President</w:t>
      </w:r>
    </w:p>
    <w:p w:rsidR="00000000" w:rsidDel="00000000" w:rsidP="00000000" w:rsidRDefault="00000000" w:rsidRPr="00000000" w14:paraId="0000000D">
      <w:pPr>
        <w:spacing w:line="360" w:lineRule="auto"/>
        <w:jc w:val="center"/>
        <w:rPr>
          <w:rFonts w:ascii="Arial" w:cs="Arial" w:eastAsia="Arial" w:hAnsi="Arial"/>
        </w:rPr>
      </w:pPr>
      <w:r w:rsidDel="00000000" w:rsidR="00000000" w:rsidRPr="00000000">
        <w:rPr>
          <w:rFonts w:ascii="Arial" w:cs="Arial" w:eastAsia="Arial" w:hAnsi="Arial"/>
          <w:rtl w:val="0"/>
        </w:rPr>
        <w:t xml:space="preserve">Aly Imam</w:t>
      </w:r>
    </w:p>
    <w:p w:rsidR="00000000" w:rsidDel="00000000" w:rsidP="00000000" w:rsidRDefault="00000000" w:rsidRPr="00000000" w14:paraId="0000000E">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Vice-President</w:t>
      </w:r>
    </w:p>
    <w:p w:rsidR="00000000" w:rsidDel="00000000" w:rsidP="00000000" w:rsidRDefault="00000000" w:rsidRPr="00000000" w14:paraId="0000000F">
      <w:pPr>
        <w:spacing w:line="360" w:lineRule="auto"/>
        <w:jc w:val="center"/>
        <w:rPr>
          <w:rFonts w:ascii="Arial" w:cs="Arial" w:eastAsia="Arial" w:hAnsi="Arial"/>
        </w:rPr>
      </w:pPr>
      <w:r w:rsidDel="00000000" w:rsidR="00000000" w:rsidRPr="00000000">
        <w:rPr>
          <w:rFonts w:ascii="Arial" w:cs="Arial" w:eastAsia="Arial" w:hAnsi="Arial"/>
          <w:rtl w:val="0"/>
        </w:rPr>
        <w:t xml:space="preserve"> Ingy Hechmat</w:t>
      </w:r>
    </w:p>
    <w:p w:rsidR="00000000" w:rsidDel="00000000" w:rsidP="00000000" w:rsidRDefault="00000000" w:rsidRPr="00000000" w14:paraId="00000010">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11">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12">
      <w:pPr>
        <w:spacing w:line="360" w:lineRule="auto"/>
        <w:jc w:val="center"/>
        <w:rPr>
          <w:rFonts w:ascii="Arial" w:cs="Arial" w:eastAsia="Arial" w:hAnsi="Arial"/>
        </w:rPr>
      </w:pPr>
      <w:r w:rsidDel="00000000" w:rsidR="00000000" w:rsidRPr="00000000">
        <w:rPr>
          <w:rtl w:val="0"/>
        </w:rPr>
      </w:r>
    </w:p>
    <w:p w:rsidR="00000000" w:rsidDel="00000000" w:rsidP="00000000" w:rsidRDefault="00000000" w:rsidRPr="00000000" w14:paraId="00000013">
      <w:pPr>
        <w:jc w:val="center"/>
        <w:rPr>
          <w:rFonts w:ascii="Arial" w:cs="Arial" w:eastAsia="Arial" w:hAnsi="Arial"/>
        </w:rPr>
      </w:pPr>
      <w:r w:rsidDel="00000000" w:rsidR="00000000" w:rsidRPr="00000000">
        <w:rPr>
          <w:rFonts w:ascii="Arial" w:cs="Arial" w:eastAsia="Arial" w:hAnsi="Arial"/>
          <w:rtl w:val="0"/>
        </w:rPr>
        <w:t xml:space="preserve">Application of the Convention on the Prevention and Punishment of the Crime of Genocide (Croatia v. Serbia)</w:t>
      </w:r>
    </w:p>
    <w:p w:rsidR="00000000" w:rsidDel="00000000" w:rsidP="00000000" w:rsidRDefault="00000000" w:rsidRPr="00000000" w14:paraId="00000014">
      <w:pPr>
        <w:jc w:val="center"/>
        <w:rPr>
          <w:rFonts w:ascii="Arial" w:cs="Arial" w:eastAsia="Arial" w:hAnsi="Arial"/>
        </w:rPr>
      </w:pPr>
      <w:r w:rsidDel="00000000" w:rsidR="00000000" w:rsidRPr="00000000">
        <w:rPr>
          <w:rtl w:val="0"/>
        </w:rPr>
      </w:r>
    </w:p>
    <w:p w:rsidR="00000000" w:rsidDel="00000000" w:rsidP="00000000" w:rsidRDefault="00000000" w:rsidRPr="00000000" w14:paraId="00000015">
      <w:pPr>
        <w:spacing w:line="360" w:lineRule="auto"/>
        <w:jc w:val="left"/>
        <w:rPr>
          <w:rFonts w:ascii="Arial" w:cs="Arial" w:eastAsia="Arial" w:hAnsi="Arial"/>
        </w:rPr>
      </w:pPr>
      <w:r w:rsidDel="00000000" w:rsidR="00000000" w:rsidRPr="00000000">
        <w:rPr>
          <w:rtl w:val="0"/>
        </w:rPr>
      </w:r>
    </w:p>
    <w:p w:rsidR="00000000" w:rsidDel="00000000" w:rsidP="00000000" w:rsidRDefault="00000000" w:rsidRPr="00000000" w14:paraId="00000016">
      <w:pPr>
        <w:spacing w:line="360" w:lineRule="auto"/>
        <w:jc w:val="left"/>
        <w:rPr>
          <w:rFonts w:ascii="Arial" w:cs="Arial" w:eastAsia="Arial" w:hAnsi="Arial"/>
        </w:rPr>
      </w:pPr>
      <w:r w:rsidDel="00000000" w:rsidR="00000000" w:rsidRPr="00000000">
        <w:rPr>
          <w:rtl w:val="0"/>
        </w:rPr>
      </w:r>
    </w:p>
    <w:p w:rsidR="00000000" w:rsidDel="00000000" w:rsidP="00000000" w:rsidRDefault="00000000" w:rsidRPr="00000000" w14:paraId="00000017">
      <w:pPr>
        <w:spacing w:line="360" w:lineRule="auto"/>
        <w:jc w:val="center"/>
        <w:rPr>
          <w:rFonts w:ascii="Arial" w:cs="Arial" w:eastAsia="Arial" w:hAnsi="Arial"/>
        </w:rPr>
      </w:pPr>
      <w:r w:rsidDel="00000000" w:rsidR="00000000" w:rsidRPr="00000000">
        <w:rPr>
          <w:rFonts w:ascii="Arial" w:cs="Arial" w:eastAsia="Arial" w:hAnsi="Arial"/>
          <w:rtl w:val="0"/>
        </w:rPr>
        <w:t xml:space="preserve">12</w:t>
      </w:r>
      <w:r w:rsidDel="00000000" w:rsidR="00000000" w:rsidRPr="00000000">
        <w:rPr>
          <w:rFonts w:ascii="Arial" w:cs="Arial" w:eastAsia="Arial" w:hAnsi="Arial"/>
          <w:vertAlign w:val="superscript"/>
          <w:rtl w:val="0"/>
        </w:rPr>
        <w:t xml:space="preserve">th</w:t>
      </w:r>
      <w:r w:rsidDel="00000000" w:rsidR="00000000" w:rsidRPr="00000000">
        <w:rPr>
          <w:rFonts w:ascii="Arial" w:cs="Arial" w:eastAsia="Arial" w:hAnsi="Arial"/>
          <w:rtl w:val="0"/>
        </w:rPr>
        <w:t xml:space="preserve"> Annual Oasis International School Model United Nations Conference</w:t>
      </w:r>
    </w:p>
    <w:p w:rsidR="00000000" w:rsidDel="00000000" w:rsidP="00000000" w:rsidRDefault="00000000" w:rsidRPr="00000000" w14:paraId="00000018">
      <w:pPr>
        <w:spacing w:line="360" w:lineRule="auto"/>
        <w:jc w:val="center"/>
        <w:rPr>
          <w:rFonts w:ascii="Arial" w:cs="Arial" w:eastAsia="Arial" w:hAnsi="Arial"/>
        </w:rPr>
      </w:pPr>
      <w:r w:rsidDel="00000000" w:rsidR="00000000" w:rsidRPr="00000000">
        <w:rPr>
          <w:rtl w:val="0"/>
        </w:rPr>
      </w:r>
    </w:p>
    <w:p w:rsidR="00000000" w:rsidDel="00000000" w:rsidP="00000000" w:rsidRDefault="00000000" w:rsidRPr="00000000" w14:paraId="00000019">
      <w:pPr>
        <w:spacing w:line="360" w:lineRule="auto"/>
        <w:jc w:val="left"/>
        <w:rPr>
          <w:rFonts w:ascii="Arial" w:cs="Arial" w:eastAsia="Arial" w:hAnsi="Arial"/>
        </w:rPr>
      </w:pPr>
      <w:r w:rsidDel="00000000" w:rsidR="00000000" w:rsidRPr="00000000">
        <w:rPr>
          <w:rtl w:val="0"/>
        </w:rPr>
      </w:r>
    </w:p>
    <w:p w:rsidR="00000000" w:rsidDel="00000000" w:rsidP="00000000" w:rsidRDefault="00000000" w:rsidRPr="00000000" w14:paraId="0000001A">
      <w:pPr>
        <w:spacing w:line="360" w:lineRule="auto"/>
        <w:jc w:val="center"/>
        <w:rPr>
          <w:rFonts w:ascii="Arial" w:cs="Arial" w:eastAsia="Arial" w:hAnsi="Arial"/>
        </w:rPr>
      </w:pPr>
      <w:r w:rsidDel="00000000" w:rsidR="00000000" w:rsidRPr="00000000">
        <w:rPr>
          <w:rFonts w:ascii="Arial" w:cs="Arial" w:eastAsia="Arial" w:hAnsi="Arial"/>
          <w:rtl w:val="0"/>
        </w:rPr>
        <w:t xml:space="preserve">October 2019</w:t>
      </w:r>
      <w:r w:rsidDel="00000000" w:rsidR="00000000" w:rsidRPr="00000000">
        <w:br w:type="page"/>
      </w:r>
      <w:r w:rsidDel="00000000" w:rsidR="00000000" w:rsidRPr="00000000">
        <w:rPr>
          <w:rtl w:val="0"/>
        </w:rPr>
      </w:r>
    </w:p>
    <w:p w:rsidR="00000000" w:rsidDel="00000000" w:rsidP="00000000" w:rsidRDefault="00000000" w:rsidRPr="00000000" w14:paraId="0000001B">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Table of Contents</w:t>
      </w:r>
    </w:p>
    <w:p w:rsidR="00000000" w:rsidDel="00000000" w:rsidP="00000000" w:rsidRDefault="00000000" w:rsidRPr="00000000" w14:paraId="0000001C">
      <w:pPr>
        <w:spacing w:line="360"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01D">
      <w:pPr>
        <w:numPr>
          <w:ilvl w:val="0"/>
          <w:numId w:val="7"/>
        </w:numPr>
        <w:pBdr>
          <w:top w:space="0" w:sz="0" w:val="nil"/>
          <w:left w:space="0" w:sz="0" w:val="nil"/>
          <w:bottom w:space="0" w:sz="0" w:val="nil"/>
          <w:right w:space="0" w:sz="0" w:val="nil"/>
          <w:between w:space="0" w:sz="0" w:val="nil"/>
        </w:pBdr>
        <w:spacing w:before="120" w:line="480" w:lineRule="auto"/>
        <w:ind w:left="720" w:hanging="720"/>
        <w:rPr>
          <w:rFonts w:ascii="Arial" w:cs="Arial" w:eastAsia="Arial" w:hAnsi="Arial"/>
          <w:smallCaps w:val="1"/>
        </w:rPr>
      </w:pPr>
      <w:r w:rsidDel="00000000" w:rsidR="00000000" w:rsidRPr="00000000">
        <w:rPr>
          <w:rFonts w:ascii="Arial" w:cs="Arial" w:eastAsia="Arial" w:hAnsi="Arial"/>
          <w:rtl w:val="0"/>
        </w:rPr>
        <w:t xml:space="preserve">Summary to the case 3</w:t>
        <w:tab/>
      </w:r>
    </w:p>
    <w:p w:rsidR="00000000" w:rsidDel="00000000" w:rsidP="00000000" w:rsidRDefault="00000000" w:rsidRPr="00000000" w14:paraId="0000001E">
      <w:pPr>
        <w:numPr>
          <w:ilvl w:val="0"/>
          <w:numId w:val="7"/>
        </w:numPr>
        <w:pBdr>
          <w:top w:space="0" w:sz="0" w:val="nil"/>
          <w:left w:space="0" w:sz="0" w:val="nil"/>
          <w:bottom w:space="0" w:sz="0" w:val="nil"/>
          <w:right w:space="0" w:sz="0" w:val="nil"/>
          <w:between w:space="0" w:sz="0" w:val="nil"/>
        </w:pBdr>
        <w:spacing w:before="120" w:line="480" w:lineRule="auto"/>
        <w:ind w:left="720" w:hanging="720"/>
        <w:rPr>
          <w:rFonts w:ascii="Arial" w:cs="Arial" w:eastAsia="Arial" w:hAnsi="Arial"/>
          <w:smallCaps w:val="1"/>
        </w:rPr>
      </w:pPr>
      <w:r w:rsidDel="00000000" w:rsidR="00000000" w:rsidRPr="00000000">
        <w:rPr>
          <w:rFonts w:ascii="Arial" w:cs="Arial" w:eastAsia="Arial" w:hAnsi="Arial"/>
          <w:rtl w:val="0"/>
        </w:rPr>
        <w:t xml:space="preserve">Parties Involved 3</w:t>
      </w:r>
    </w:p>
    <w:p w:rsidR="00000000" w:rsidDel="00000000" w:rsidP="00000000" w:rsidRDefault="00000000" w:rsidRPr="00000000" w14:paraId="0000001F">
      <w:pPr>
        <w:numPr>
          <w:ilvl w:val="0"/>
          <w:numId w:val="7"/>
        </w:numPr>
        <w:pBdr>
          <w:top w:space="0" w:sz="0" w:val="nil"/>
          <w:left w:space="0" w:sz="0" w:val="nil"/>
          <w:bottom w:space="0" w:sz="0" w:val="nil"/>
          <w:right w:space="0" w:sz="0" w:val="nil"/>
          <w:between w:space="0" w:sz="0" w:val="nil"/>
        </w:pBdr>
        <w:spacing w:before="120" w:line="480" w:lineRule="auto"/>
        <w:ind w:left="720" w:hanging="720"/>
        <w:rPr>
          <w:rFonts w:ascii="Arial" w:cs="Arial" w:eastAsia="Arial" w:hAnsi="Arial"/>
          <w:u w:val="none"/>
        </w:rPr>
      </w:pPr>
      <w:r w:rsidDel="00000000" w:rsidR="00000000" w:rsidRPr="00000000">
        <w:rPr>
          <w:rFonts w:ascii="Arial" w:cs="Arial" w:eastAsia="Arial" w:hAnsi="Arial"/>
          <w:rtl w:val="0"/>
        </w:rPr>
        <w:t xml:space="preserve">Statement of facts</w:t>
      </w:r>
    </w:p>
    <w:p w:rsidR="00000000" w:rsidDel="00000000" w:rsidP="00000000" w:rsidRDefault="00000000" w:rsidRPr="00000000" w14:paraId="00000020">
      <w:pPr>
        <w:numPr>
          <w:ilvl w:val="0"/>
          <w:numId w:val="7"/>
        </w:numPr>
        <w:pBdr>
          <w:top w:space="0" w:sz="0" w:val="nil"/>
          <w:left w:space="0" w:sz="0" w:val="nil"/>
          <w:bottom w:space="0" w:sz="0" w:val="nil"/>
          <w:right w:space="0" w:sz="0" w:val="nil"/>
          <w:between w:space="0" w:sz="0" w:val="nil"/>
        </w:pBdr>
        <w:spacing w:before="120" w:line="480" w:lineRule="auto"/>
        <w:ind w:left="720" w:hanging="720"/>
        <w:rPr>
          <w:rFonts w:ascii="Arial" w:cs="Arial" w:eastAsia="Arial" w:hAnsi="Arial"/>
          <w:smallCaps w:val="1"/>
        </w:rPr>
      </w:pPr>
      <w:r w:rsidDel="00000000" w:rsidR="00000000" w:rsidRPr="00000000">
        <w:rPr>
          <w:rFonts w:ascii="Arial" w:cs="Arial" w:eastAsia="Arial" w:hAnsi="Arial"/>
          <w:rtl w:val="0"/>
        </w:rPr>
        <w:t xml:space="preserve">Key terms</w:t>
      </w:r>
      <w:r w:rsidDel="00000000" w:rsidR="00000000" w:rsidRPr="00000000">
        <w:rPr>
          <w:rtl w:val="0"/>
        </w:rPr>
      </w:r>
    </w:p>
    <w:p w:rsidR="00000000" w:rsidDel="00000000" w:rsidP="00000000" w:rsidRDefault="00000000" w:rsidRPr="00000000" w14:paraId="00000021">
      <w:pPr>
        <w:numPr>
          <w:ilvl w:val="0"/>
          <w:numId w:val="7"/>
        </w:numPr>
        <w:pBdr>
          <w:top w:space="0" w:sz="0" w:val="nil"/>
          <w:left w:space="0" w:sz="0" w:val="nil"/>
          <w:bottom w:space="0" w:sz="0" w:val="nil"/>
          <w:right w:space="0" w:sz="0" w:val="nil"/>
          <w:between w:space="0" w:sz="0" w:val="nil"/>
        </w:pBdr>
        <w:spacing w:before="120" w:line="480" w:lineRule="auto"/>
        <w:ind w:left="720" w:hanging="720"/>
        <w:rPr>
          <w:rFonts w:ascii="Arial" w:cs="Arial" w:eastAsia="Arial" w:hAnsi="Arial"/>
          <w:smallCaps w:val="1"/>
        </w:rPr>
      </w:pPr>
      <w:r w:rsidDel="00000000" w:rsidR="00000000" w:rsidRPr="00000000">
        <w:rPr>
          <w:rFonts w:ascii="Arial" w:cs="Arial" w:eastAsia="Arial" w:hAnsi="Arial"/>
          <w:rtl w:val="0"/>
        </w:rPr>
        <w:t xml:space="preserve">Statement of law</w:t>
      </w:r>
      <w:r w:rsidDel="00000000" w:rsidR="00000000" w:rsidRPr="00000000">
        <w:rPr>
          <w:rtl w:val="0"/>
        </w:rPr>
      </w:r>
    </w:p>
    <w:p w:rsidR="00000000" w:rsidDel="00000000" w:rsidP="00000000" w:rsidRDefault="00000000" w:rsidRPr="00000000" w14:paraId="00000022">
      <w:pPr>
        <w:numPr>
          <w:ilvl w:val="0"/>
          <w:numId w:val="7"/>
        </w:numPr>
        <w:pBdr>
          <w:top w:space="0" w:sz="0" w:val="nil"/>
          <w:left w:space="0" w:sz="0" w:val="nil"/>
          <w:bottom w:space="0" w:sz="0" w:val="nil"/>
          <w:right w:space="0" w:sz="0" w:val="nil"/>
          <w:between w:space="0" w:sz="0" w:val="nil"/>
        </w:pBdr>
        <w:spacing w:before="120" w:line="480" w:lineRule="auto"/>
        <w:ind w:left="720" w:hanging="720"/>
        <w:rPr>
          <w:rFonts w:ascii="Arial" w:cs="Arial" w:eastAsia="Arial" w:hAnsi="Arial"/>
          <w:smallCaps w:val="1"/>
        </w:rPr>
      </w:pPr>
      <w:r w:rsidDel="00000000" w:rsidR="00000000" w:rsidRPr="00000000">
        <w:rPr>
          <w:rFonts w:ascii="Arial" w:cs="Arial" w:eastAsia="Arial" w:hAnsi="Arial"/>
          <w:rtl w:val="0"/>
        </w:rPr>
        <w:t xml:space="preserve">Statement of jurisdiction;</w:t>
      </w:r>
      <w:r w:rsidDel="00000000" w:rsidR="00000000" w:rsidRPr="00000000">
        <w:rPr>
          <w:rtl w:val="0"/>
        </w:rPr>
      </w:r>
    </w:p>
    <w:p w:rsidR="00000000" w:rsidDel="00000000" w:rsidP="00000000" w:rsidRDefault="00000000" w:rsidRPr="00000000" w14:paraId="00000023">
      <w:pPr>
        <w:numPr>
          <w:ilvl w:val="0"/>
          <w:numId w:val="7"/>
        </w:numPr>
        <w:pBdr>
          <w:top w:space="0" w:sz="0" w:val="nil"/>
          <w:left w:space="0" w:sz="0" w:val="nil"/>
          <w:bottom w:space="0" w:sz="0" w:val="nil"/>
          <w:right w:space="0" w:sz="0" w:val="nil"/>
          <w:between w:space="0" w:sz="0" w:val="nil"/>
        </w:pBdr>
        <w:spacing w:before="120" w:line="480" w:lineRule="auto"/>
        <w:ind w:left="720" w:hanging="720"/>
        <w:rPr>
          <w:rFonts w:ascii="Arial" w:cs="Arial" w:eastAsia="Arial" w:hAnsi="Arial"/>
          <w:smallCaps w:val="1"/>
        </w:rPr>
      </w:pPr>
      <w:r w:rsidDel="00000000" w:rsidR="00000000" w:rsidRPr="00000000">
        <w:rPr>
          <w:rFonts w:ascii="Arial" w:cs="Arial" w:eastAsia="Arial" w:hAnsi="Arial"/>
          <w:rtl w:val="0"/>
        </w:rPr>
        <w:t xml:space="preserve">Useful links </w:t>
      </w:r>
      <w:r w:rsidDel="00000000" w:rsidR="00000000" w:rsidRPr="00000000">
        <w:rPr>
          <w:rtl w:val="0"/>
        </w:rPr>
      </w:r>
    </w:p>
    <w:p w:rsidR="00000000" w:rsidDel="00000000" w:rsidP="00000000" w:rsidRDefault="00000000" w:rsidRPr="00000000" w14:paraId="00000024">
      <w:pPr>
        <w:numPr>
          <w:ilvl w:val="0"/>
          <w:numId w:val="7"/>
        </w:numPr>
        <w:pBdr>
          <w:top w:space="0" w:sz="0" w:val="nil"/>
          <w:left w:space="0" w:sz="0" w:val="nil"/>
          <w:bottom w:space="0" w:sz="0" w:val="nil"/>
          <w:right w:space="0" w:sz="0" w:val="nil"/>
          <w:between w:space="0" w:sz="0" w:val="nil"/>
        </w:pBdr>
        <w:spacing w:before="120" w:line="480" w:lineRule="auto"/>
        <w:ind w:left="720" w:hanging="720"/>
        <w:rPr>
          <w:rFonts w:ascii="Arial" w:cs="Arial" w:eastAsia="Arial" w:hAnsi="Arial"/>
          <w:smallCaps w:val="1"/>
        </w:rPr>
      </w:pPr>
      <w:r w:rsidDel="00000000" w:rsidR="00000000" w:rsidRPr="00000000">
        <w:rPr>
          <w:rFonts w:ascii="Arial" w:cs="Arial" w:eastAsia="Arial" w:hAnsi="Arial"/>
          <w:rtl w:val="0"/>
        </w:rPr>
        <w:t xml:space="preserve">Bibliography</w:t>
      </w:r>
      <w:r w:rsidDel="00000000" w:rsidR="00000000" w:rsidRPr="00000000">
        <w:rPr>
          <w:rtl w:val="0"/>
        </w:rPr>
      </w:r>
    </w:p>
    <w:p w:rsidR="00000000" w:rsidDel="00000000" w:rsidP="00000000" w:rsidRDefault="00000000" w:rsidRPr="00000000" w14:paraId="00000025">
      <w:pPr>
        <w:rPr>
          <w:rFonts w:ascii="Arial" w:cs="Arial" w:eastAsia="Arial" w:hAnsi="Arial"/>
          <w:smallCaps w:val="1"/>
        </w:rPr>
      </w:pPr>
      <w:r w:rsidDel="00000000" w:rsidR="00000000" w:rsidRPr="00000000">
        <w:br w:type="page"/>
      </w:r>
      <w:r w:rsidDel="00000000" w:rsidR="00000000" w:rsidRPr="00000000">
        <w:rPr>
          <w:rtl w:val="0"/>
        </w:rPr>
      </w:r>
    </w:p>
    <w:p w:rsidR="00000000" w:rsidDel="00000000" w:rsidP="00000000" w:rsidRDefault="00000000" w:rsidRPr="00000000" w14:paraId="00000026">
      <w:pPr>
        <w:numPr>
          <w:ilvl w:val="0"/>
          <w:numId w:val="3"/>
        </w:numPr>
        <w:spacing w:after="240" w:before="240" w:line="480" w:lineRule="auto"/>
        <w:ind w:left="720" w:hanging="360"/>
        <w:jc w:val="both"/>
        <w:rPr>
          <w:rFonts w:ascii="Arial" w:cs="Arial" w:eastAsia="Arial" w:hAnsi="Arial"/>
          <w:b w:val="1"/>
        </w:rPr>
      </w:pPr>
      <w:r w:rsidDel="00000000" w:rsidR="00000000" w:rsidRPr="00000000">
        <w:rPr>
          <w:rFonts w:ascii="Arial" w:cs="Arial" w:eastAsia="Arial" w:hAnsi="Arial"/>
          <w:b w:val="1"/>
          <w:rtl w:val="0"/>
        </w:rPr>
        <w:t xml:space="preserve">SUMMARY OF THE </w:t>
      </w:r>
      <w:r w:rsidDel="00000000" w:rsidR="00000000" w:rsidRPr="00000000">
        <w:rPr>
          <w:rFonts w:ascii="Arial" w:cs="Arial" w:eastAsia="Arial" w:hAnsi="Arial"/>
          <w:b w:val="1"/>
          <w:rtl w:val="0"/>
        </w:rPr>
        <w:t xml:space="preserve">CASE</w:t>
      </w:r>
      <w:r w:rsidDel="00000000" w:rsidR="00000000" w:rsidRPr="00000000">
        <w:rPr>
          <w:rFonts w:ascii="Arial" w:cs="Arial" w:eastAsia="Arial" w:hAnsi="Arial"/>
          <w:b w:val="1"/>
          <w:rtl w:val="0"/>
        </w:rPr>
        <w:t xml:space="preserve">:</w:t>
      </w:r>
      <w:r w:rsidDel="00000000" w:rsidR="00000000" w:rsidRPr="00000000">
        <w:rPr>
          <w:rtl w:val="0"/>
        </w:rPr>
      </w:r>
    </w:p>
    <w:p w:rsidR="00000000" w:rsidDel="00000000" w:rsidP="00000000" w:rsidRDefault="00000000" w:rsidRPr="00000000" w14:paraId="00000027">
      <w:pPr>
        <w:spacing w:line="480" w:lineRule="auto"/>
        <w:ind w:left="0" w:firstLine="720"/>
        <w:jc w:val="both"/>
        <w:rPr>
          <w:rFonts w:ascii="Arial" w:cs="Arial" w:eastAsia="Arial" w:hAnsi="Arial"/>
          <w:highlight w:val="white"/>
        </w:rPr>
      </w:pPr>
      <w:r w:rsidDel="00000000" w:rsidR="00000000" w:rsidRPr="00000000">
        <w:rPr>
          <w:rFonts w:ascii="Arial" w:cs="Arial" w:eastAsia="Arial" w:hAnsi="Arial"/>
          <w:rtl w:val="0"/>
        </w:rPr>
        <w:t xml:space="preserve">On the 2nd of July 1999</w:t>
      </w:r>
      <w:r w:rsidDel="00000000" w:rsidR="00000000" w:rsidRPr="00000000">
        <w:rPr>
          <w:rFonts w:ascii="Arial" w:cs="Arial" w:eastAsia="Arial" w:hAnsi="Arial"/>
          <w:highlight w:val="white"/>
          <w:rtl w:val="0"/>
        </w:rPr>
        <w:t xml:space="preserve">, the Republic of Croatia (hereinafter Croatia) filed an Application against the Federal Republic of Yugoslavia (hereinafter FRY) “for violations of the Convention on the Prevention and Punishment of the Crime of Genocide” (hereinafter the Genocide Convention). With the transformation of the Federal Republic of Yugoslavia into Serbia and Montenegro and the dissolution of the country in 2006, Serbia took the FRY’s position as the defendant considering that serbia is its </w:t>
      </w:r>
      <w:r w:rsidDel="00000000" w:rsidR="00000000" w:rsidRPr="00000000">
        <w:rPr>
          <w:rFonts w:ascii="Arial" w:cs="Arial" w:eastAsia="Arial" w:hAnsi="Arial"/>
          <w:highlight w:val="white"/>
          <w:rtl w:val="0"/>
        </w:rPr>
        <w:t xml:space="preserve">legal successor. </w:t>
      </w:r>
      <w:r w:rsidDel="00000000" w:rsidR="00000000" w:rsidRPr="00000000">
        <w:rPr>
          <w:rtl w:val="0"/>
        </w:rPr>
      </w:r>
    </w:p>
    <w:p w:rsidR="00000000" w:rsidDel="00000000" w:rsidP="00000000" w:rsidRDefault="00000000" w:rsidRPr="00000000" w14:paraId="00000028">
      <w:pPr>
        <w:spacing w:line="480" w:lineRule="auto"/>
        <w:ind w:left="0" w:firstLine="720"/>
        <w:jc w:val="both"/>
        <w:rPr>
          <w:rFonts w:ascii="Arial" w:cs="Arial" w:eastAsia="Arial" w:hAnsi="Arial"/>
          <w:highlight w:val="white"/>
        </w:rPr>
      </w:pPr>
      <w:r w:rsidDel="00000000" w:rsidR="00000000" w:rsidRPr="00000000">
        <w:rPr>
          <w:rFonts w:ascii="Arial" w:cs="Arial" w:eastAsia="Arial" w:hAnsi="Arial"/>
          <w:highlight w:val="white"/>
          <w:rtl w:val="0"/>
        </w:rPr>
        <w:t xml:space="preserve">The acts of genocide that were allegedly committed by the FRY were during the year 1992 falling during the Bosnian genocide commited in the years 1992 to 1995. The FRY has a rich history of allegedly committed genocide as it could be clearly seen from the fact stated above.</w:t>
      </w:r>
    </w:p>
    <w:p w:rsidR="00000000" w:rsidDel="00000000" w:rsidP="00000000" w:rsidRDefault="00000000" w:rsidRPr="00000000" w14:paraId="00000029">
      <w:pPr>
        <w:spacing w:line="480" w:lineRule="auto"/>
        <w:ind w:left="0" w:firstLine="720"/>
        <w:jc w:val="both"/>
        <w:rPr>
          <w:rFonts w:ascii="Arial" w:cs="Arial" w:eastAsia="Arial" w:hAnsi="Arial"/>
        </w:rPr>
      </w:pPr>
      <w:r w:rsidDel="00000000" w:rsidR="00000000" w:rsidRPr="00000000">
        <w:rPr>
          <w:rFonts w:ascii="Arial" w:cs="Arial" w:eastAsia="Arial" w:hAnsi="Arial"/>
          <w:highlight w:val="white"/>
          <w:rtl w:val="0"/>
        </w:rPr>
        <w:t xml:space="preserve">As the process went on, the Republic of Serbia filled a countersuit to the </w:t>
      </w:r>
      <w:r w:rsidDel="00000000" w:rsidR="00000000" w:rsidRPr="00000000">
        <w:rPr>
          <w:rFonts w:ascii="Arial" w:cs="Arial" w:eastAsia="Arial" w:hAnsi="Arial"/>
          <w:highlight w:val="white"/>
          <w:rtl w:val="0"/>
        </w:rPr>
        <w:t xml:space="preserve">International Court of Justice (hereinafter ICJ)</w:t>
      </w:r>
      <w:r w:rsidDel="00000000" w:rsidR="00000000" w:rsidRPr="00000000">
        <w:rPr>
          <w:rFonts w:ascii="Arial" w:cs="Arial" w:eastAsia="Arial" w:hAnsi="Arial"/>
          <w:color w:val="ff0000"/>
          <w:highlight w:val="white"/>
          <w:rtl w:val="0"/>
        </w:rPr>
        <w:t xml:space="preserve"> </w:t>
      </w:r>
      <w:r w:rsidDel="00000000" w:rsidR="00000000" w:rsidRPr="00000000">
        <w:rPr>
          <w:rFonts w:ascii="Arial" w:cs="Arial" w:eastAsia="Arial" w:hAnsi="Arial"/>
          <w:highlight w:val="white"/>
          <w:rtl w:val="0"/>
        </w:rPr>
        <w:t xml:space="preserve">accusing Croatia of genocide</w:t>
      </w:r>
      <w:r w:rsidDel="00000000" w:rsidR="00000000" w:rsidRPr="00000000">
        <w:rPr>
          <w:rFonts w:ascii="Arial" w:cs="Arial" w:eastAsia="Arial" w:hAnsi="Arial"/>
          <w:highlight w:val="white"/>
          <w:rtl w:val="0"/>
        </w:rPr>
        <w:t xml:space="preserve"> on the 4th of January 2010. The counterclaim covers missing, killed and expelled civilians. The FRY claimed that at the time of the Second World War, the republic of Croatia prosecuted Serbs and held them in concentration camps were they were tortured and killed in ways that couldnt’ even be described. The Republic of Croatia was called hereinafter the </w:t>
      </w:r>
      <w:r w:rsidDel="00000000" w:rsidR="00000000" w:rsidRPr="00000000">
        <w:rPr>
          <w:rFonts w:ascii="Arial" w:cs="Arial" w:eastAsia="Arial" w:hAnsi="Arial"/>
          <w:rtl w:val="0"/>
        </w:rPr>
        <w:t xml:space="preserve">“puppet state of Nazi Germany during the second World War”</w:t>
      </w:r>
      <w:r w:rsidDel="00000000" w:rsidR="00000000" w:rsidRPr="00000000">
        <w:rPr>
          <w:rFonts w:ascii="Arial" w:cs="Arial" w:eastAsia="Arial" w:hAnsi="Arial"/>
          <w:rtl w:val="0"/>
        </w:rPr>
        <w:t xml:space="preserve">.</w:t>
      </w:r>
    </w:p>
    <w:p w:rsidR="00000000" w:rsidDel="00000000" w:rsidP="00000000" w:rsidRDefault="00000000" w:rsidRPr="00000000" w14:paraId="0000002A">
      <w:pPr>
        <w:spacing w:line="480" w:lineRule="auto"/>
        <w:ind w:left="0" w:firstLine="720"/>
        <w:jc w:val="both"/>
        <w:rPr>
          <w:rFonts w:ascii="Arial" w:cs="Arial" w:eastAsia="Arial" w:hAnsi="Arial"/>
        </w:rPr>
      </w:pPr>
      <w:r w:rsidDel="00000000" w:rsidR="00000000" w:rsidRPr="00000000">
        <w:rPr>
          <w:rtl w:val="0"/>
        </w:rPr>
      </w:r>
    </w:p>
    <w:p w:rsidR="00000000" w:rsidDel="00000000" w:rsidP="00000000" w:rsidRDefault="00000000" w:rsidRPr="00000000" w14:paraId="0000002B">
      <w:pPr>
        <w:spacing w:line="480" w:lineRule="auto"/>
        <w:ind w:left="0" w:firstLine="720"/>
        <w:jc w:val="both"/>
        <w:rPr>
          <w:rFonts w:ascii="Arial" w:cs="Arial" w:eastAsia="Arial" w:hAnsi="Arial"/>
          <w:highlight w:val="white"/>
        </w:rPr>
      </w:pPr>
      <w:r w:rsidDel="00000000" w:rsidR="00000000" w:rsidRPr="00000000">
        <w:rPr>
          <w:rFonts w:ascii="Arial" w:cs="Arial" w:eastAsia="Arial" w:hAnsi="Arial"/>
          <w:highlight w:val="white"/>
          <w:rtl w:val="0"/>
        </w:rPr>
        <w:t xml:space="preserve">The crime of genocide consists of two elements, so in order to prove the commission of genocide, two elements need to occur in the incident, the first is the physical action known as </w:t>
      </w:r>
      <w:r w:rsidDel="00000000" w:rsidR="00000000" w:rsidRPr="00000000">
        <w:rPr>
          <w:rFonts w:ascii="Arial" w:cs="Arial" w:eastAsia="Arial" w:hAnsi="Arial"/>
          <w:i w:val="1"/>
          <w:highlight w:val="white"/>
          <w:rtl w:val="0"/>
        </w:rPr>
        <w:t xml:space="preserve">Actus Reus</w:t>
      </w:r>
      <w:r w:rsidDel="00000000" w:rsidR="00000000" w:rsidRPr="00000000">
        <w:rPr>
          <w:rFonts w:ascii="Arial" w:cs="Arial" w:eastAsia="Arial" w:hAnsi="Arial"/>
          <w:highlight w:val="white"/>
          <w:rtl w:val="0"/>
        </w:rPr>
        <w:t xml:space="preserve">. And the second, the presence of an intention to commit genocide known as </w:t>
      </w:r>
      <w:r w:rsidDel="00000000" w:rsidR="00000000" w:rsidRPr="00000000">
        <w:rPr>
          <w:rFonts w:ascii="Arial" w:cs="Arial" w:eastAsia="Arial" w:hAnsi="Arial"/>
          <w:i w:val="1"/>
          <w:highlight w:val="white"/>
          <w:rtl w:val="0"/>
        </w:rPr>
        <w:t xml:space="preserve">Mens Rea</w:t>
      </w:r>
      <w:r w:rsidDel="00000000" w:rsidR="00000000" w:rsidRPr="00000000">
        <w:rPr>
          <w:rFonts w:ascii="Arial" w:cs="Arial" w:eastAsia="Arial" w:hAnsi="Arial"/>
          <w:highlight w:val="white"/>
          <w:rtl w:val="0"/>
        </w:rPr>
        <w:t xml:space="preserve">.  Both elements must be proven by both parties in order to be convicted and ruled upon as guilty of committing genocide.</w:t>
      </w:r>
      <w:r w:rsidDel="00000000" w:rsidR="00000000" w:rsidRPr="00000000">
        <w:rPr>
          <w:rtl w:val="0"/>
        </w:rPr>
      </w:r>
    </w:p>
    <w:p w:rsidR="00000000" w:rsidDel="00000000" w:rsidP="00000000" w:rsidRDefault="00000000" w:rsidRPr="00000000" w14:paraId="0000002C">
      <w:pPr>
        <w:numPr>
          <w:ilvl w:val="0"/>
          <w:numId w:val="3"/>
        </w:numPr>
        <w:spacing w:after="240" w:before="240" w:line="480" w:lineRule="auto"/>
        <w:ind w:left="720" w:hanging="360"/>
        <w:jc w:val="both"/>
        <w:rPr>
          <w:rFonts w:ascii="Arial" w:cs="Arial" w:eastAsia="Arial" w:hAnsi="Arial"/>
          <w:b w:val="1"/>
        </w:rPr>
      </w:pPr>
      <w:r w:rsidDel="00000000" w:rsidR="00000000" w:rsidRPr="00000000">
        <w:rPr>
          <w:rFonts w:ascii="Arial" w:cs="Arial" w:eastAsia="Arial" w:hAnsi="Arial"/>
          <w:b w:val="1"/>
          <w:rtl w:val="0"/>
        </w:rPr>
        <w:t xml:space="preserve">PARTIES INVOLVED:</w:t>
      </w:r>
      <w:r w:rsidDel="00000000" w:rsidR="00000000" w:rsidRPr="00000000">
        <w:rPr>
          <w:rtl w:val="0"/>
        </w:rPr>
      </w:r>
    </w:p>
    <w:p w:rsidR="00000000" w:rsidDel="00000000" w:rsidP="00000000" w:rsidRDefault="00000000" w:rsidRPr="00000000" w14:paraId="0000002D">
      <w:pPr>
        <w:numPr>
          <w:ilvl w:val="0"/>
          <w:numId w:val="8"/>
        </w:numPr>
        <w:spacing w:after="240" w:before="240" w:line="480" w:lineRule="auto"/>
        <w:ind w:left="720" w:hanging="360"/>
        <w:jc w:val="both"/>
        <w:rPr>
          <w:rFonts w:ascii="Arial" w:cs="Arial" w:eastAsia="Arial" w:hAnsi="Arial"/>
          <w:u w:val="none"/>
        </w:rPr>
      </w:pPr>
      <w:r w:rsidDel="00000000" w:rsidR="00000000" w:rsidRPr="00000000">
        <w:rPr>
          <w:rFonts w:ascii="Arial" w:cs="Arial" w:eastAsia="Arial" w:hAnsi="Arial"/>
          <w:u w:val="single"/>
          <w:rtl w:val="0"/>
        </w:rPr>
        <w:t xml:space="preserve">Plaintiff</w:t>
      </w:r>
      <w:r w:rsidDel="00000000" w:rsidR="00000000" w:rsidRPr="00000000">
        <w:rPr>
          <w:rFonts w:ascii="Arial" w:cs="Arial" w:eastAsia="Arial" w:hAnsi="Arial"/>
          <w:rtl w:val="0"/>
        </w:rPr>
        <w:t xml:space="preserve">: The Republic of Croatia</w:t>
      </w:r>
      <w:r w:rsidDel="00000000" w:rsidR="00000000" w:rsidRPr="00000000">
        <w:rPr>
          <w:rFonts w:ascii="Arial" w:cs="Arial" w:eastAsia="Arial" w:hAnsi="Arial"/>
          <w:rtl w:val="0"/>
        </w:rPr>
        <w:t xml:space="preserve"> (hereinafter Croatia)</w:t>
      </w:r>
    </w:p>
    <w:p w:rsidR="00000000" w:rsidDel="00000000" w:rsidP="00000000" w:rsidRDefault="00000000" w:rsidRPr="00000000" w14:paraId="0000002E">
      <w:pPr>
        <w:spacing w:after="240" w:before="240" w:line="480" w:lineRule="auto"/>
        <w:jc w:val="both"/>
        <w:rPr>
          <w:rFonts w:ascii="Arial" w:cs="Arial" w:eastAsia="Arial" w:hAnsi="Arial"/>
        </w:rPr>
      </w:pPr>
      <w:r w:rsidDel="00000000" w:rsidR="00000000" w:rsidRPr="00000000">
        <w:rPr>
          <w:rFonts w:ascii="Arial" w:cs="Arial" w:eastAsia="Arial" w:hAnsi="Arial"/>
          <w:rtl w:val="0"/>
        </w:rPr>
        <w:tab/>
        <w:t xml:space="preserve">According to Croatia, </w:t>
      </w:r>
      <w:r w:rsidDel="00000000" w:rsidR="00000000" w:rsidRPr="00000000">
        <w:rPr>
          <w:rFonts w:ascii="Arial" w:cs="Arial" w:eastAsia="Arial" w:hAnsi="Arial"/>
          <w:rtl w:val="0"/>
        </w:rPr>
        <w:t xml:space="preserve">during the armed conflict which erupted in 1991, the Republic of Serbia had violated the Convention on the Prevention and Punishment of the Crime of Genocide “By directly controlling the activity of its armed forces, intelligence agents and various paramilitary detachments, on the territory of the Republic of Croatia, in the Knin region , Eastern and Western Slavonia, and Dalmatia, the Federal Republic of Yugoslavia is liable for the “ethnic cleansing” of the Croatian citizens from these areas – a form of genocide which resulted in large numbers of Croatian citizens being displaced, killed, tortured, or illegally detained, as well as extensive property destruction – and is required to provide reparation for the resultant damage”. </w:t>
      </w:r>
    </w:p>
    <w:p w:rsidR="00000000" w:rsidDel="00000000" w:rsidP="00000000" w:rsidRDefault="00000000" w:rsidRPr="00000000" w14:paraId="0000002F">
      <w:pPr>
        <w:numPr>
          <w:ilvl w:val="0"/>
          <w:numId w:val="2"/>
        </w:numPr>
        <w:spacing w:after="240" w:before="240" w:line="480" w:lineRule="auto"/>
        <w:ind w:left="720" w:hanging="360"/>
        <w:jc w:val="both"/>
        <w:rPr>
          <w:rFonts w:ascii="Arial" w:cs="Arial" w:eastAsia="Arial" w:hAnsi="Arial"/>
          <w:u w:val="none"/>
        </w:rPr>
      </w:pPr>
      <w:r w:rsidDel="00000000" w:rsidR="00000000" w:rsidRPr="00000000">
        <w:rPr>
          <w:rFonts w:ascii="Arial" w:cs="Arial" w:eastAsia="Arial" w:hAnsi="Arial"/>
          <w:u w:val="single"/>
          <w:rtl w:val="0"/>
        </w:rPr>
        <w:t xml:space="preserve">Defendant:</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 The Republic of Serbia  (hereinafter Serbia)</w:t>
      </w:r>
    </w:p>
    <w:p w:rsidR="00000000" w:rsidDel="00000000" w:rsidP="00000000" w:rsidRDefault="00000000" w:rsidRPr="00000000" w14:paraId="00000030">
      <w:pPr>
        <w:spacing w:after="0" w:line="480" w:lineRule="auto"/>
        <w:ind w:left="0" w:firstLine="720"/>
        <w:jc w:val="both"/>
        <w:rPr>
          <w:rFonts w:ascii="Arial" w:cs="Arial" w:eastAsia="Arial" w:hAnsi="Arial"/>
        </w:rPr>
      </w:pPr>
      <w:r w:rsidDel="00000000" w:rsidR="00000000" w:rsidRPr="00000000">
        <w:rPr>
          <w:rFonts w:ascii="Arial" w:cs="Arial" w:eastAsia="Arial" w:hAnsi="Arial"/>
          <w:rtl w:val="0"/>
        </w:rPr>
        <w:t xml:space="preserve">Serbia as an independent state is being convicted with the FRY actions as it is its legal successor and is to answer all claims against its predecessor the FRY according to Article 60 of the constitutional charter of Serbia and Montenegro. As on the counterclaim, Serbia claims that Croatia committed similarly acts of genocide against the Serbs during the Second World Wars and is to be responsible for the past actions taken by its government at this time.</w:t>
      </w:r>
      <w:r w:rsidDel="00000000" w:rsidR="00000000" w:rsidRPr="00000000">
        <w:rPr>
          <w:rtl w:val="0"/>
        </w:rPr>
      </w:r>
    </w:p>
    <w:p w:rsidR="00000000" w:rsidDel="00000000" w:rsidP="00000000" w:rsidRDefault="00000000" w:rsidRPr="00000000" w14:paraId="00000031">
      <w:pPr>
        <w:numPr>
          <w:ilvl w:val="0"/>
          <w:numId w:val="3"/>
        </w:numPr>
        <w:spacing w:after="240" w:before="240" w:line="480" w:lineRule="auto"/>
        <w:ind w:left="720" w:hanging="360"/>
        <w:jc w:val="both"/>
        <w:rPr>
          <w:rFonts w:ascii="Arial" w:cs="Arial" w:eastAsia="Arial" w:hAnsi="Arial"/>
          <w:b w:val="1"/>
        </w:rPr>
      </w:pPr>
      <w:r w:rsidDel="00000000" w:rsidR="00000000" w:rsidRPr="00000000">
        <w:rPr>
          <w:rFonts w:ascii="Arial" w:cs="Arial" w:eastAsia="Arial" w:hAnsi="Arial"/>
          <w:b w:val="1"/>
          <w:rtl w:val="0"/>
        </w:rPr>
        <w:t xml:space="preserve">STATEMENT OF FACTS:</w:t>
      </w:r>
      <w:r w:rsidDel="00000000" w:rsidR="00000000" w:rsidRPr="00000000">
        <w:rPr>
          <w:rtl w:val="0"/>
        </w:rPr>
      </w:r>
    </w:p>
    <w:p w:rsidR="00000000" w:rsidDel="00000000" w:rsidP="00000000" w:rsidRDefault="00000000" w:rsidRPr="00000000" w14:paraId="00000032">
      <w:pPr>
        <w:numPr>
          <w:ilvl w:val="0"/>
          <w:numId w:val="6"/>
        </w:numPr>
        <w:spacing w:after="0" w:afterAutospacing="0" w:before="240" w:line="480" w:lineRule="auto"/>
        <w:ind w:left="720" w:hanging="360"/>
        <w:jc w:val="both"/>
        <w:rPr>
          <w:rFonts w:ascii="Arial" w:cs="Arial" w:eastAsia="Arial" w:hAnsi="Arial"/>
        </w:rPr>
      </w:pPr>
      <w:r w:rsidDel="00000000" w:rsidR="00000000" w:rsidRPr="00000000">
        <w:rPr>
          <w:rFonts w:ascii="Arial" w:cs="Arial" w:eastAsia="Arial" w:hAnsi="Arial"/>
          <w:rtl w:val="0"/>
        </w:rPr>
        <w:t xml:space="preserve">Serbia filled a counter claim on the 4th of January 2010 convicting the Croatian of committing acts of genocide during the period of 1945;</w:t>
      </w:r>
    </w:p>
    <w:p w:rsidR="00000000" w:rsidDel="00000000" w:rsidP="00000000" w:rsidRDefault="00000000" w:rsidRPr="00000000" w14:paraId="00000033">
      <w:pPr>
        <w:numPr>
          <w:ilvl w:val="0"/>
          <w:numId w:val="6"/>
        </w:numPr>
        <w:spacing w:after="0" w:afterAutospacing="0" w:before="0" w:beforeAutospacing="0" w:line="480" w:lineRule="auto"/>
        <w:ind w:left="720" w:hanging="360"/>
        <w:jc w:val="both"/>
        <w:rPr>
          <w:rFonts w:ascii="Arial" w:cs="Arial" w:eastAsia="Arial" w:hAnsi="Arial"/>
        </w:rPr>
      </w:pPr>
      <w:r w:rsidDel="00000000" w:rsidR="00000000" w:rsidRPr="00000000">
        <w:rPr>
          <w:rFonts w:ascii="Arial" w:cs="Arial" w:eastAsia="Arial" w:hAnsi="Arial"/>
          <w:rtl w:val="0"/>
        </w:rPr>
        <w:t xml:space="preserve">The Convention on the Prevention and Punishment of the Crime of Genocide took place after the second world war in 1948;</w:t>
      </w:r>
    </w:p>
    <w:p w:rsidR="00000000" w:rsidDel="00000000" w:rsidP="00000000" w:rsidRDefault="00000000" w:rsidRPr="00000000" w14:paraId="00000034">
      <w:pPr>
        <w:numPr>
          <w:ilvl w:val="0"/>
          <w:numId w:val="6"/>
        </w:numPr>
        <w:spacing w:after="0" w:afterAutospacing="0" w:before="0" w:beforeAutospacing="0" w:line="480" w:lineRule="auto"/>
        <w:ind w:left="720" w:hanging="360"/>
        <w:jc w:val="both"/>
        <w:rPr>
          <w:rFonts w:ascii="Arial" w:cs="Arial" w:eastAsia="Arial" w:hAnsi="Arial"/>
        </w:rPr>
      </w:pPr>
      <w:r w:rsidDel="00000000" w:rsidR="00000000" w:rsidRPr="00000000">
        <w:rPr>
          <w:rFonts w:ascii="Arial" w:cs="Arial" w:eastAsia="Arial" w:hAnsi="Arial"/>
          <w:rtl w:val="0"/>
        </w:rPr>
        <w:t xml:space="preserve">Croatia and Serbia are both parties of the</w:t>
      </w:r>
      <w:r w:rsidDel="00000000" w:rsidR="00000000" w:rsidRPr="00000000">
        <w:rPr>
          <w:rFonts w:ascii="Arial" w:cs="Arial" w:eastAsia="Arial" w:hAnsi="Arial"/>
          <w:highlight w:val="white"/>
          <w:rtl w:val="0"/>
        </w:rPr>
        <w:t xml:space="preserve"> </w:t>
      </w:r>
      <w:r w:rsidDel="00000000" w:rsidR="00000000" w:rsidRPr="00000000">
        <w:rPr>
          <w:rFonts w:ascii="Arial" w:cs="Arial" w:eastAsia="Arial" w:hAnsi="Arial"/>
          <w:rtl w:val="0"/>
        </w:rPr>
        <w:t xml:space="preserve">Convention on the Prevention and Punishment of the Crime of Genocide;</w:t>
      </w:r>
    </w:p>
    <w:p w:rsidR="00000000" w:rsidDel="00000000" w:rsidP="00000000" w:rsidRDefault="00000000" w:rsidRPr="00000000" w14:paraId="00000035">
      <w:pPr>
        <w:numPr>
          <w:ilvl w:val="0"/>
          <w:numId w:val="6"/>
        </w:numPr>
        <w:spacing w:after="0" w:afterAutospacing="0" w:before="0" w:beforeAutospacing="0" w:line="480" w:lineRule="auto"/>
        <w:ind w:left="720" w:hanging="360"/>
        <w:jc w:val="both"/>
        <w:rPr>
          <w:rFonts w:ascii="Arial" w:cs="Arial" w:eastAsia="Arial" w:hAnsi="Arial"/>
          <w:u w:val="none"/>
        </w:rPr>
      </w:pPr>
      <w:r w:rsidDel="00000000" w:rsidR="00000000" w:rsidRPr="00000000">
        <w:rPr>
          <w:rFonts w:ascii="Arial" w:cs="Arial" w:eastAsia="Arial" w:hAnsi="Arial"/>
          <w:rtl w:val="0"/>
        </w:rPr>
        <w:t xml:space="preserve">Croatia ratified the Genocide Convention 12 October 1992;</w:t>
      </w:r>
    </w:p>
    <w:p w:rsidR="00000000" w:rsidDel="00000000" w:rsidP="00000000" w:rsidRDefault="00000000" w:rsidRPr="00000000" w14:paraId="00000036">
      <w:pPr>
        <w:numPr>
          <w:ilvl w:val="0"/>
          <w:numId w:val="6"/>
        </w:numPr>
        <w:spacing w:after="0" w:afterAutospacing="0" w:before="0" w:beforeAutospacing="0" w:line="480" w:lineRule="auto"/>
        <w:ind w:left="720" w:hanging="360"/>
        <w:jc w:val="both"/>
        <w:rPr>
          <w:rFonts w:ascii="Arial" w:cs="Arial" w:eastAsia="Arial" w:hAnsi="Arial"/>
          <w:u w:val="none"/>
        </w:rPr>
      </w:pPr>
      <w:r w:rsidDel="00000000" w:rsidR="00000000" w:rsidRPr="00000000">
        <w:rPr>
          <w:rFonts w:ascii="Arial" w:cs="Arial" w:eastAsia="Arial" w:hAnsi="Arial"/>
          <w:rtl w:val="0"/>
        </w:rPr>
        <w:t xml:space="preserve">Serbia ratified the Genocide Convention 12 March 2001;</w:t>
      </w:r>
    </w:p>
    <w:p w:rsidR="00000000" w:rsidDel="00000000" w:rsidP="00000000" w:rsidRDefault="00000000" w:rsidRPr="00000000" w14:paraId="00000037">
      <w:pPr>
        <w:numPr>
          <w:ilvl w:val="0"/>
          <w:numId w:val="6"/>
        </w:numPr>
        <w:spacing w:after="0" w:afterAutospacing="0" w:before="0" w:beforeAutospacing="0" w:line="480" w:lineRule="auto"/>
        <w:ind w:left="720" w:hanging="360"/>
        <w:jc w:val="both"/>
        <w:rPr>
          <w:rFonts w:ascii="Arial" w:cs="Arial" w:eastAsia="Arial" w:hAnsi="Arial"/>
          <w:u w:val="none"/>
        </w:rPr>
      </w:pPr>
      <w:r w:rsidDel="00000000" w:rsidR="00000000" w:rsidRPr="00000000">
        <w:rPr>
          <w:rFonts w:ascii="Arial" w:cs="Arial" w:eastAsia="Arial" w:hAnsi="Arial"/>
          <w:rtl w:val="0"/>
        </w:rPr>
        <w:t xml:space="preserve">After Yugolavia’s breakup, Serbia became it’s legal successor;</w:t>
      </w:r>
    </w:p>
    <w:p w:rsidR="00000000" w:rsidDel="00000000" w:rsidP="00000000" w:rsidRDefault="00000000" w:rsidRPr="00000000" w14:paraId="00000038">
      <w:pPr>
        <w:numPr>
          <w:ilvl w:val="0"/>
          <w:numId w:val="6"/>
        </w:numPr>
        <w:spacing w:after="0" w:afterAutospacing="0" w:before="0" w:beforeAutospacing="0" w:line="480" w:lineRule="auto"/>
        <w:ind w:left="720" w:hanging="360"/>
        <w:jc w:val="both"/>
        <w:rPr>
          <w:rFonts w:ascii="Arial" w:cs="Arial" w:eastAsia="Arial" w:hAnsi="Arial"/>
          <w:u w:val="none"/>
        </w:rPr>
      </w:pPr>
      <w:r w:rsidDel="00000000" w:rsidR="00000000" w:rsidRPr="00000000">
        <w:rPr>
          <w:rFonts w:ascii="Arial" w:cs="Arial" w:eastAsia="Arial" w:hAnsi="Arial"/>
          <w:rtl w:val="0"/>
        </w:rPr>
        <w:t xml:space="preserve">Serbia began to have access to the court starting from 2004;</w:t>
      </w:r>
    </w:p>
    <w:p w:rsidR="00000000" w:rsidDel="00000000" w:rsidP="00000000" w:rsidRDefault="00000000" w:rsidRPr="00000000" w14:paraId="00000039">
      <w:pPr>
        <w:numPr>
          <w:ilvl w:val="0"/>
          <w:numId w:val="6"/>
        </w:numPr>
        <w:spacing w:after="0" w:afterAutospacing="0" w:before="0" w:beforeAutospacing="0" w:line="480" w:lineRule="auto"/>
        <w:ind w:left="720" w:hanging="360"/>
        <w:jc w:val="both"/>
        <w:rPr>
          <w:rFonts w:ascii="Arial" w:cs="Arial" w:eastAsia="Arial" w:hAnsi="Arial"/>
          <w:u w:val="none"/>
        </w:rPr>
      </w:pPr>
      <w:r w:rsidDel="00000000" w:rsidR="00000000" w:rsidRPr="00000000">
        <w:rPr>
          <w:rFonts w:ascii="Arial" w:cs="Arial" w:eastAsia="Arial" w:hAnsi="Arial"/>
          <w:rtl w:val="0"/>
        </w:rPr>
        <w:t xml:space="preserve">Croatia’s claims were judged admissible as the ICJ ruled in favor of having jurisdiction in ruling in the case;</w:t>
      </w:r>
    </w:p>
    <w:p w:rsidR="00000000" w:rsidDel="00000000" w:rsidP="00000000" w:rsidRDefault="00000000" w:rsidRPr="00000000" w14:paraId="0000003A">
      <w:pPr>
        <w:numPr>
          <w:ilvl w:val="0"/>
          <w:numId w:val="6"/>
        </w:numPr>
        <w:spacing w:after="240" w:before="0" w:beforeAutospacing="0" w:line="480" w:lineRule="auto"/>
        <w:ind w:left="720" w:hanging="360"/>
        <w:jc w:val="both"/>
        <w:rPr>
          <w:rFonts w:ascii="Arial" w:cs="Arial" w:eastAsia="Arial" w:hAnsi="Arial"/>
          <w:u w:val="none"/>
        </w:rPr>
      </w:pPr>
      <w:r w:rsidDel="00000000" w:rsidR="00000000" w:rsidRPr="00000000">
        <w:rPr>
          <w:rFonts w:ascii="Arial" w:cs="Arial" w:eastAsia="Arial" w:hAnsi="Arial"/>
          <w:rtl w:val="0"/>
        </w:rPr>
        <w:t xml:space="preserve">The ICJ ruled in favor of Serbian as in having jurisdiction to rule in the matter of genocide allegedly committed by Croatia;</w:t>
      </w:r>
    </w:p>
    <w:p w:rsidR="00000000" w:rsidDel="00000000" w:rsidP="00000000" w:rsidRDefault="00000000" w:rsidRPr="00000000" w14:paraId="0000003B">
      <w:pPr>
        <w:spacing w:after="240" w:before="240" w:line="48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3C">
      <w:pPr>
        <w:numPr>
          <w:ilvl w:val="0"/>
          <w:numId w:val="3"/>
        </w:numPr>
        <w:spacing w:after="240" w:before="240" w:line="480" w:lineRule="auto"/>
        <w:ind w:left="720" w:hanging="360"/>
        <w:jc w:val="both"/>
        <w:rPr>
          <w:rFonts w:ascii="Arial" w:cs="Arial" w:eastAsia="Arial" w:hAnsi="Arial"/>
          <w:b w:val="1"/>
        </w:rPr>
      </w:pPr>
      <w:r w:rsidDel="00000000" w:rsidR="00000000" w:rsidRPr="00000000">
        <w:rPr>
          <w:rFonts w:ascii="Arial" w:cs="Arial" w:eastAsia="Arial" w:hAnsi="Arial"/>
          <w:b w:val="1"/>
          <w:rtl w:val="0"/>
        </w:rPr>
        <w:t xml:space="preserve">KEY TERMS:</w:t>
      </w:r>
    </w:p>
    <w:p w:rsidR="00000000" w:rsidDel="00000000" w:rsidP="00000000" w:rsidRDefault="00000000" w:rsidRPr="00000000" w14:paraId="0000003D">
      <w:pPr>
        <w:numPr>
          <w:ilvl w:val="0"/>
          <w:numId w:val="10"/>
        </w:numPr>
        <w:spacing w:line="480" w:lineRule="auto"/>
        <w:ind w:left="720" w:hanging="360"/>
        <w:jc w:val="both"/>
        <w:rPr>
          <w:rFonts w:ascii="Arial" w:cs="Arial" w:eastAsia="Arial" w:hAnsi="Arial"/>
          <w:u w:val="none"/>
        </w:rPr>
      </w:pPr>
      <w:r w:rsidDel="00000000" w:rsidR="00000000" w:rsidRPr="00000000">
        <w:rPr>
          <w:rFonts w:ascii="Arial" w:cs="Arial" w:eastAsia="Arial" w:hAnsi="Arial"/>
          <w:u w:val="single"/>
          <w:rtl w:val="0"/>
        </w:rPr>
        <w:t xml:space="preserve">Genocide</w:t>
      </w:r>
      <w:r w:rsidDel="00000000" w:rsidR="00000000" w:rsidRPr="00000000">
        <w:rPr>
          <w:rFonts w:ascii="Arial" w:cs="Arial" w:eastAsia="Arial" w:hAnsi="Arial"/>
          <w:rtl w:val="0"/>
        </w:rPr>
        <w:t xml:space="preserve">: genocide is the act of killing a large group of people, most of the time it’s committed towards people of a particular nation or ethnic group. </w:t>
      </w:r>
    </w:p>
    <w:p w:rsidR="00000000" w:rsidDel="00000000" w:rsidP="00000000" w:rsidRDefault="00000000" w:rsidRPr="00000000" w14:paraId="0000003E">
      <w:pPr>
        <w:numPr>
          <w:ilvl w:val="0"/>
          <w:numId w:val="10"/>
        </w:numPr>
        <w:spacing w:line="480" w:lineRule="auto"/>
        <w:ind w:left="720" w:hanging="360"/>
        <w:jc w:val="both"/>
        <w:rPr>
          <w:rFonts w:ascii="Arial" w:cs="Arial" w:eastAsia="Arial" w:hAnsi="Arial"/>
          <w:u w:val="none"/>
        </w:rPr>
      </w:pPr>
      <w:r w:rsidDel="00000000" w:rsidR="00000000" w:rsidRPr="00000000">
        <w:rPr>
          <w:rFonts w:ascii="Arial" w:cs="Arial" w:eastAsia="Arial" w:hAnsi="Arial"/>
          <w:u w:val="single"/>
          <w:rtl w:val="0"/>
        </w:rPr>
        <w:t xml:space="preserve">Legal successor:</w:t>
      </w:r>
      <w:r w:rsidDel="00000000" w:rsidR="00000000" w:rsidRPr="00000000">
        <w:rPr>
          <w:rFonts w:ascii="Arial" w:cs="Arial" w:eastAsia="Arial" w:hAnsi="Arial"/>
          <w:rtl w:val="0"/>
        </w:rPr>
        <w:t xml:space="preserve"> a legal successor is, one </w:t>
      </w:r>
      <w:r w:rsidDel="00000000" w:rsidR="00000000" w:rsidRPr="00000000">
        <w:rPr>
          <w:rFonts w:ascii="Arial" w:cs="Arial" w:eastAsia="Arial" w:hAnsi="Arial"/>
          <w:rtl w:val="0"/>
        </w:rPr>
        <w:t xml:space="preserve">who follows or comes into the place of another. Also called, succession of states, which is a theory </w:t>
      </w:r>
      <w:r w:rsidDel="00000000" w:rsidR="00000000" w:rsidRPr="00000000">
        <w:rPr>
          <w:rFonts w:ascii="Arial" w:cs="Arial" w:eastAsia="Arial" w:hAnsi="Arial"/>
          <w:rtl w:val="0"/>
        </w:rPr>
        <w:t xml:space="preserve">and practice in international relations regarding the recognition of a newly created sovereign state by other states, based on a historical relationship the new state has with a prior state.</w:t>
      </w:r>
      <w:r w:rsidDel="00000000" w:rsidR="00000000" w:rsidRPr="00000000">
        <w:rPr>
          <w:rtl w:val="0"/>
        </w:rPr>
      </w:r>
    </w:p>
    <w:p w:rsidR="00000000" w:rsidDel="00000000" w:rsidP="00000000" w:rsidRDefault="00000000" w:rsidRPr="00000000" w14:paraId="0000003F">
      <w:pPr>
        <w:numPr>
          <w:ilvl w:val="0"/>
          <w:numId w:val="10"/>
        </w:numPr>
        <w:spacing w:line="480" w:lineRule="auto"/>
        <w:ind w:left="720" w:hanging="360"/>
        <w:jc w:val="both"/>
        <w:rPr>
          <w:rFonts w:ascii="Arial" w:cs="Arial" w:eastAsia="Arial" w:hAnsi="Arial"/>
          <w:u w:val="none"/>
        </w:rPr>
      </w:pPr>
      <w:r w:rsidDel="00000000" w:rsidR="00000000" w:rsidRPr="00000000">
        <w:rPr>
          <w:rFonts w:ascii="Arial" w:cs="Arial" w:eastAsia="Arial" w:hAnsi="Arial"/>
          <w:u w:val="single"/>
          <w:rtl w:val="0"/>
        </w:rPr>
        <w:t xml:space="preserve">Actus Reus: </w:t>
      </w:r>
      <w:r w:rsidDel="00000000" w:rsidR="00000000" w:rsidRPr="00000000">
        <w:rPr>
          <w:rFonts w:ascii="Arial" w:cs="Arial" w:eastAsia="Arial" w:hAnsi="Arial"/>
          <w:rtl w:val="0"/>
        </w:rPr>
        <w:t xml:space="preserve">Actus Reus is the latin word for “guilty act”, meaning the physical element of genocide, hence specific events that constitute the elements of genocide. </w:t>
      </w:r>
    </w:p>
    <w:p w:rsidR="00000000" w:rsidDel="00000000" w:rsidP="00000000" w:rsidRDefault="00000000" w:rsidRPr="00000000" w14:paraId="00000040">
      <w:pPr>
        <w:numPr>
          <w:ilvl w:val="0"/>
          <w:numId w:val="10"/>
        </w:numPr>
        <w:spacing w:line="480" w:lineRule="auto"/>
        <w:ind w:left="720" w:hanging="360"/>
        <w:jc w:val="both"/>
        <w:rPr>
          <w:rFonts w:ascii="Arial" w:cs="Arial" w:eastAsia="Arial" w:hAnsi="Arial"/>
          <w:u w:val="none"/>
        </w:rPr>
      </w:pPr>
      <w:r w:rsidDel="00000000" w:rsidR="00000000" w:rsidRPr="00000000">
        <w:rPr>
          <w:rFonts w:ascii="Arial" w:cs="Arial" w:eastAsia="Arial" w:hAnsi="Arial"/>
          <w:u w:val="single"/>
          <w:rtl w:val="0"/>
        </w:rPr>
        <w:t xml:space="preserve">Mens Rea:</w:t>
      </w:r>
      <w:r w:rsidDel="00000000" w:rsidR="00000000" w:rsidRPr="00000000">
        <w:rPr>
          <w:rFonts w:ascii="Arial" w:cs="Arial" w:eastAsia="Arial" w:hAnsi="Arial"/>
          <w:rtl w:val="0"/>
        </w:rPr>
        <w:t xml:space="preserve"> Mens Rea is the latin word for “guilty mind”, meaning</w:t>
      </w:r>
      <w:r w:rsidDel="00000000" w:rsidR="00000000" w:rsidRPr="00000000">
        <w:rPr>
          <w:rFonts w:ascii="Arial" w:cs="Arial" w:eastAsia="Arial" w:hAnsi="Arial"/>
          <w:rtl w:val="0"/>
        </w:rPr>
        <w:t xml:space="preserve"> the mental element of a person's intention to commit a crime; or knowledge that one's action or lack of action would cause a crime to be committed.</w:t>
      </w:r>
      <w:r w:rsidDel="00000000" w:rsidR="00000000" w:rsidRPr="00000000">
        <w:rPr>
          <w:rtl w:val="0"/>
        </w:rPr>
      </w:r>
    </w:p>
    <w:p w:rsidR="00000000" w:rsidDel="00000000" w:rsidP="00000000" w:rsidRDefault="00000000" w:rsidRPr="00000000" w14:paraId="00000041">
      <w:pPr>
        <w:numPr>
          <w:ilvl w:val="0"/>
          <w:numId w:val="3"/>
        </w:numPr>
        <w:spacing w:after="240" w:before="240" w:line="480" w:lineRule="auto"/>
        <w:ind w:left="720" w:hanging="360"/>
        <w:jc w:val="both"/>
        <w:rPr>
          <w:rFonts w:ascii="Arial" w:cs="Arial" w:eastAsia="Arial" w:hAnsi="Arial"/>
          <w:b w:val="1"/>
          <w:u w:val="none"/>
        </w:rPr>
      </w:pPr>
      <w:r w:rsidDel="00000000" w:rsidR="00000000" w:rsidRPr="00000000">
        <w:rPr>
          <w:rFonts w:ascii="Arial" w:cs="Arial" w:eastAsia="Arial" w:hAnsi="Arial"/>
          <w:b w:val="1"/>
          <w:rtl w:val="0"/>
        </w:rPr>
        <w:t xml:space="preserve">STATEMENT OF LAW:</w:t>
      </w:r>
    </w:p>
    <w:p w:rsidR="00000000" w:rsidDel="00000000" w:rsidP="00000000" w:rsidRDefault="00000000" w:rsidRPr="00000000" w14:paraId="00000042">
      <w:pPr>
        <w:numPr>
          <w:ilvl w:val="0"/>
          <w:numId w:val="9"/>
        </w:numPr>
        <w:spacing w:after="0" w:afterAutospacing="0" w:before="240" w:line="480" w:lineRule="auto"/>
        <w:ind w:left="720" w:hanging="360"/>
        <w:jc w:val="both"/>
        <w:rPr>
          <w:rFonts w:ascii="Arial" w:cs="Arial" w:eastAsia="Arial" w:hAnsi="Arial"/>
        </w:rPr>
      </w:pPr>
      <w:r w:rsidDel="00000000" w:rsidR="00000000" w:rsidRPr="00000000">
        <w:rPr>
          <w:rFonts w:ascii="Arial" w:cs="Arial" w:eastAsia="Arial" w:hAnsi="Arial"/>
          <w:rtl w:val="0"/>
        </w:rPr>
        <w:t xml:space="preserve">Article 9 of Convention on the Prevention and Punishment of the Crime of Genocide</w:t>
      </w:r>
    </w:p>
    <w:p w:rsidR="00000000" w:rsidDel="00000000" w:rsidP="00000000" w:rsidRDefault="00000000" w:rsidRPr="00000000" w14:paraId="00000043">
      <w:pPr>
        <w:numPr>
          <w:ilvl w:val="0"/>
          <w:numId w:val="9"/>
        </w:numPr>
        <w:spacing w:line="480" w:lineRule="auto"/>
        <w:ind w:left="720" w:hanging="360"/>
        <w:rPr>
          <w:rFonts w:ascii="Arial" w:cs="Arial" w:eastAsia="Arial" w:hAnsi="Arial"/>
        </w:rPr>
      </w:pPr>
      <w:r w:rsidDel="00000000" w:rsidR="00000000" w:rsidRPr="00000000">
        <w:rPr>
          <w:rFonts w:ascii="Arial" w:cs="Arial" w:eastAsia="Arial" w:hAnsi="Arial"/>
          <w:rtl w:val="0"/>
        </w:rPr>
        <w:t xml:space="preserve"> Article 2 (3) of the Draft Code of Crimes against the Peace and Security of Mankind, Yearbook of the International Law Commission</w:t>
      </w:r>
    </w:p>
    <w:p w:rsidR="00000000" w:rsidDel="00000000" w:rsidP="00000000" w:rsidRDefault="00000000" w:rsidRPr="00000000" w14:paraId="00000044">
      <w:pPr>
        <w:numPr>
          <w:ilvl w:val="0"/>
          <w:numId w:val="9"/>
        </w:numPr>
        <w:spacing w:after="0" w:line="480" w:lineRule="auto"/>
        <w:ind w:left="720" w:hanging="360"/>
        <w:jc w:val="both"/>
        <w:rPr>
          <w:rFonts w:ascii="Arial" w:cs="Arial" w:eastAsia="Arial" w:hAnsi="Arial"/>
        </w:rPr>
      </w:pPr>
      <w:r w:rsidDel="00000000" w:rsidR="00000000" w:rsidRPr="00000000">
        <w:rPr>
          <w:rFonts w:ascii="Arial" w:cs="Arial" w:eastAsia="Arial" w:hAnsi="Arial"/>
          <w:rtl w:val="0"/>
        </w:rPr>
        <w:t xml:space="preserve">Article 60 of the constitutional charter of Serbia and Montenegro</w:t>
      </w:r>
    </w:p>
    <w:p w:rsidR="00000000" w:rsidDel="00000000" w:rsidP="00000000" w:rsidRDefault="00000000" w:rsidRPr="00000000" w14:paraId="00000045">
      <w:pPr>
        <w:numPr>
          <w:ilvl w:val="0"/>
          <w:numId w:val="3"/>
        </w:numPr>
        <w:spacing w:after="240" w:before="240" w:line="480" w:lineRule="auto"/>
        <w:ind w:left="720" w:hanging="360"/>
        <w:jc w:val="both"/>
        <w:rPr>
          <w:rFonts w:ascii="Arial" w:cs="Arial" w:eastAsia="Arial" w:hAnsi="Arial"/>
          <w:b w:val="1"/>
          <w:u w:val="none"/>
        </w:rPr>
      </w:pPr>
      <w:r w:rsidDel="00000000" w:rsidR="00000000" w:rsidRPr="00000000">
        <w:rPr>
          <w:rFonts w:ascii="Arial" w:cs="Arial" w:eastAsia="Arial" w:hAnsi="Arial"/>
          <w:b w:val="1"/>
          <w:rtl w:val="0"/>
        </w:rPr>
        <w:t xml:space="preserve">STATEMENT OF JURISDICTION:</w:t>
      </w:r>
    </w:p>
    <w:p w:rsidR="00000000" w:rsidDel="00000000" w:rsidP="00000000" w:rsidRDefault="00000000" w:rsidRPr="00000000" w14:paraId="00000046">
      <w:pPr>
        <w:numPr>
          <w:ilvl w:val="0"/>
          <w:numId w:val="9"/>
        </w:numPr>
        <w:spacing w:after="240" w:before="240" w:line="480" w:lineRule="auto"/>
        <w:ind w:left="720" w:hanging="360"/>
        <w:jc w:val="both"/>
        <w:rPr>
          <w:rFonts w:ascii="Arial" w:cs="Arial" w:eastAsia="Arial" w:hAnsi="Arial"/>
        </w:rPr>
      </w:pPr>
      <w:r w:rsidDel="00000000" w:rsidR="00000000" w:rsidRPr="00000000">
        <w:rPr>
          <w:rFonts w:ascii="Arial" w:cs="Arial" w:eastAsia="Arial" w:hAnsi="Arial"/>
          <w:rtl w:val="0"/>
        </w:rPr>
        <w:t xml:space="preserve"> Article 38, paragraph 1, of the Statute of the International Court of Justice</w:t>
      </w:r>
      <w:r w:rsidDel="00000000" w:rsidR="00000000" w:rsidRPr="00000000">
        <w:rPr>
          <w:rtl w:val="0"/>
        </w:rPr>
      </w:r>
    </w:p>
    <w:p w:rsidR="00000000" w:rsidDel="00000000" w:rsidP="00000000" w:rsidRDefault="00000000" w:rsidRPr="00000000" w14:paraId="00000047">
      <w:pPr>
        <w:numPr>
          <w:ilvl w:val="0"/>
          <w:numId w:val="3"/>
        </w:numPr>
        <w:spacing w:after="240" w:before="240" w:line="360" w:lineRule="auto"/>
        <w:ind w:left="720" w:hanging="360"/>
        <w:jc w:val="both"/>
        <w:rPr>
          <w:rFonts w:ascii="Arial" w:cs="Arial" w:eastAsia="Arial" w:hAnsi="Arial"/>
          <w:b w:val="1"/>
          <w:u w:val="none"/>
        </w:rPr>
      </w:pPr>
      <w:r w:rsidDel="00000000" w:rsidR="00000000" w:rsidRPr="00000000">
        <w:rPr>
          <w:rFonts w:ascii="Arial" w:cs="Arial" w:eastAsia="Arial" w:hAnsi="Arial"/>
          <w:b w:val="1"/>
          <w:rtl w:val="0"/>
        </w:rPr>
        <w:t xml:space="preserve">USEFUL LINKS:</w:t>
      </w:r>
      <w:r w:rsidDel="00000000" w:rsidR="00000000" w:rsidRPr="00000000">
        <w:rPr>
          <w:rtl w:val="0"/>
        </w:rPr>
      </w:r>
    </w:p>
    <w:p w:rsidR="00000000" w:rsidDel="00000000" w:rsidP="00000000" w:rsidRDefault="00000000" w:rsidRPr="00000000" w14:paraId="00000048">
      <w:pPr>
        <w:numPr>
          <w:ilvl w:val="0"/>
          <w:numId w:val="4"/>
        </w:numPr>
        <w:spacing w:after="0" w:afterAutospacing="0" w:before="240" w:line="360" w:lineRule="auto"/>
        <w:ind w:left="720" w:hanging="360"/>
        <w:jc w:val="both"/>
        <w:rPr>
          <w:rFonts w:ascii="Arial" w:cs="Arial" w:eastAsia="Arial" w:hAnsi="Arial"/>
          <w:i w:val="1"/>
        </w:rPr>
      </w:pPr>
      <w:r w:rsidDel="00000000" w:rsidR="00000000" w:rsidRPr="00000000">
        <w:rPr>
          <w:rFonts w:ascii="Arial" w:cs="Arial" w:eastAsia="Arial" w:hAnsi="Arial"/>
          <w:i w:val="1"/>
          <w:rtl w:val="0"/>
        </w:rPr>
        <w:t xml:space="preserve">Application of the Convention on the Prevention and Punishment of the Crime of Genocide (Croatia v. Serbia) : </w:t>
      </w:r>
      <w:hyperlink r:id="rId7">
        <w:r w:rsidDel="00000000" w:rsidR="00000000" w:rsidRPr="00000000">
          <w:rPr>
            <w:rFonts w:ascii="Arial" w:cs="Arial" w:eastAsia="Arial" w:hAnsi="Arial"/>
            <w:i w:val="1"/>
            <w:color w:val="1155cc"/>
            <w:u w:val="single"/>
            <w:rtl w:val="0"/>
          </w:rPr>
          <w:t xml:space="preserve">https://www.icj-cij.org/en/case/118</w:t>
        </w:r>
      </w:hyperlink>
      <w:r w:rsidDel="00000000" w:rsidR="00000000" w:rsidRPr="00000000">
        <w:rPr>
          <w:rtl w:val="0"/>
        </w:rPr>
      </w:r>
    </w:p>
    <w:p w:rsidR="00000000" w:rsidDel="00000000" w:rsidP="00000000" w:rsidRDefault="00000000" w:rsidRPr="00000000" w14:paraId="00000049">
      <w:pPr>
        <w:numPr>
          <w:ilvl w:val="0"/>
          <w:numId w:val="4"/>
        </w:numPr>
        <w:spacing w:after="0" w:afterAutospacing="0" w:before="0" w:beforeAutospacing="0" w:line="360" w:lineRule="auto"/>
        <w:ind w:left="720" w:hanging="360"/>
        <w:jc w:val="both"/>
        <w:rPr>
          <w:rFonts w:ascii="Arial" w:cs="Arial" w:eastAsia="Arial" w:hAnsi="Arial"/>
          <w:i w:val="1"/>
        </w:rPr>
      </w:pPr>
      <w:r w:rsidDel="00000000" w:rsidR="00000000" w:rsidRPr="00000000">
        <w:rPr>
          <w:rFonts w:ascii="Arial" w:cs="Arial" w:eastAsia="Arial" w:hAnsi="Arial"/>
          <w:i w:val="1"/>
          <w:rtl w:val="0"/>
        </w:rPr>
        <w:t xml:space="preserve">Convention on the Prevention and Punishment of the Crime of Genocide: </w:t>
      </w:r>
      <w:hyperlink r:id="rId8">
        <w:r w:rsidDel="00000000" w:rsidR="00000000" w:rsidRPr="00000000">
          <w:rPr>
            <w:rFonts w:ascii="Arial" w:cs="Arial" w:eastAsia="Arial" w:hAnsi="Arial"/>
            <w:i w:val="1"/>
            <w:color w:val="1155cc"/>
            <w:u w:val="single"/>
            <w:rtl w:val="0"/>
          </w:rPr>
          <w:t xml:space="preserve">https://www.ohchr.org/en/professionalinterest/pages/crimeofgenocide.aspx</w:t>
        </w:r>
      </w:hyperlink>
      <w:r w:rsidDel="00000000" w:rsidR="00000000" w:rsidRPr="00000000">
        <w:rPr>
          <w:rtl w:val="0"/>
        </w:rPr>
      </w:r>
    </w:p>
    <w:p w:rsidR="00000000" w:rsidDel="00000000" w:rsidP="00000000" w:rsidRDefault="00000000" w:rsidRPr="00000000" w14:paraId="0000004A">
      <w:pPr>
        <w:numPr>
          <w:ilvl w:val="0"/>
          <w:numId w:val="5"/>
        </w:numPr>
        <w:spacing w:after="240" w:before="0" w:beforeAutospacing="0" w:line="360" w:lineRule="auto"/>
        <w:ind w:left="720" w:hanging="360"/>
        <w:jc w:val="both"/>
        <w:rPr>
          <w:rFonts w:ascii="Arial" w:cs="Arial" w:eastAsia="Arial" w:hAnsi="Arial"/>
          <w:i w:val="1"/>
        </w:rPr>
      </w:pPr>
      <w:r w:rsidDel="00000000" w:rsidR="00000000" w:rsidRPr="00000000">
        <w:rPr>
          <w:rFonts w:ascii="Arial" w:cs="Arial" w:eastAsia="Arial" w:hAnsi="Arial"/>
          <w:i w:val="1"/>
          <w:rtl w:val="0"/>
        </w:rPr>
        <w:t xml:space="preserve">Application of the Genocide Convention (Croatia Vs. Serbia) : </w:t>
      </w:r>
      <w:hyperlink r:id="rId9">
        <w:r w:rsidDel="00000000" w:rsidR="00000000" w:rsidRPr="00000000">
          <w:rPr>
            <w:rFonts w:ascii="Arial" w:cs="Arial" w:eastAsia="Arial" w:hAnsi="Arial"/>
            <w:i w:val="1"/>
            <w:color w:val="1155cc"/>
            <w:u w:val="single"/>
            <w:rtl w:val="0"/>
          </w:rPr>
          <w:t xml:space="preserve">https://pdfs.semanticscholar.org/d608/a56665bea280c1558fff4c1958dab1efb3e8.pdf</w:t>
        </w:r>
      </w:hyperlink>
      <w:r w:rsidDel="00000000" w:rsidR="00000000" w:rsidRPr="00000000">
        <w:rPr>
          <w:rtl w:val="0"/>
        </w:rPr>
      </w:r>
    </w:p>
    <w:p w:rsidR="00000000" w:rsidDel="00000000" w:rsidP="00000000" w:rsidRDefault="00000000" w:rsidRPr="00000000" w14:paraId="0000004B">
      <w:pPr>
        <w:numPr>
          <w:ilvl w:val="0"/>
          <w:numId w:val="3"/>
        </w:numPr>
        <w:spacing w:after="240" w:before="240" w:line="360" w:lineRule="auto"/>
        <w:ind w:left="720" w:hanging="360"/>
        <w:jc w:val="both"/>
        <w:rPr>
          <w:rFonts w:ascii="Arial" w:cs="Arial" w:eastAsia="Arial" w:hAnsi="Arial"/>
          <w:b w:val="1"/>
          <w:u w:val="none"/>
        </w:rPr>
      </w:pPr>
      <w:r w:rsidDel="00000000" w:rsidR="00000000" w:rsidRPr="00000000">
        <w:rPr>
          <w:rFonts w:ascii="Arial" w:cs="Arial" w:eastAsia="Arial" w:hAnsi="Arial"/>
          <w:b w:val="1"/>
          <w:rtl w:val="0"/>
        </w:rPr>
        <w:t xml:space="preserve">BIBLIOGRAPHY:</w:t>
      </w:r>
    </w:p>
    <w:p w:rsidR="00000000" w:rsidDel="00000000" w:rsidP="00000000" w:rsidRDefault="00000000" w:rsidRPr="00000000" w14:paraId="0000004C">
      <w:pPr>
        <w:numPr>
          <w:ilvl w:val="0"/>
          <w:numId w:val="1"/>
        </w:numPr>
        <w:spacing w:line="360" w:lineRule="auto"/>
        <w:ind w:left="720" w:hanging="360"/>
        <w:rPr>
          <w:rFonts w:ascii="Arial" w:cs="Arial" w:eastAsia="Arial" w:hAnsi="Arial"/>
          <w:u w:val="none"/>
        </w:rPr>
      </w:pPr>
      <w:r w:rsidDel="00000000" w:rsidR="00000000" w:rsidRPr="00000000">
        <w:rPr>
          <w:rFonts w:ascii="Arial" w:cs="Arial" w:eastAsia="Arial" w:hAnsi="Arial"/>
          <w:rtl w:val="0"/>
        </w:rPr>
        <w:t xml:space="preserve">THE INTERNATIONAL COURT OF JUSTICE. (</w:t>
      </w:r>
      <w:r w:rsidDel="00000000" w:rsidR="00000000" w:rsidRPr="00000000">
        <w:rPr>
          <w:rFonts w:ascii="Arial" w:cs="Arial" w:eastAsia="Arial" w:hAnsi="Arial"/>
          <w:rtl w:val="0"/>
        </w:rPr>
        <w:t xml:space="preserve">Application of the Convention on the Prevention and Punishment of the Crime of Genocide (Croatia v. Serbia)</w:t>
      </w:r>
      <w:r w:rsidDel="00000000" w:rsidR="00000000" w:rsidRPr="00000000">
        <w:rPr>
          <w:rFonts w:ascii="Arial" w:cs="Arial" w:eastAsia="Arial" w:hAnsi="Arial"/>
          <w:rtl w:val="0"/>
        </w:rPr>
        <w:t xml:space="preserve">), [online]. Available on: </w:t>
      </w:r>
      <w:hyperlink r:id="rId10">
        <w:r w:rsidDel="00000000" w:rsidR="00000000" w:rsidRPr="00000000">
          <w:rPr>
            <w:rFonts w:ascii="Arial" w:cs="Arial" w:eastAsia="Arial" w:hAnsi="Arial"/>
            <w:color w:val="1155cc"/>
            <w:u w:val="single"/>
            <w:rtl w:val="0"/>
          </w:rPr>
          <w:t xml:space="preserve">https://www.icj-cij.org/en/case/118</w:t>
        </w:r>
      </w:hyperlink>
      <w:r w:rsidDel="00000000" w:rsidR="00000000" w:rsidRPr="00000000">
        <w:rPr>
          <w:rFonts w:ascii="Arial" w:cs="Arial" w:eastAsia="Arial" w:hAnsi="Arial"/>
          <w:rtl w:val="0"/>
        </w:rPr>
        <w:t xml:space="preserve">, consulted on the 21st of June 2019.</w:t>
      </w:r>
    </w:p>
    <w:p w:rsidR="00000000" w:rsidDel="00000000" w:rsidP="00000000" w:rsidRDefault="00000000" w:rsidRPr="00000000" w14:paraId="0000004D">
      <w:pPr>
        <w:numPr>
          <w:ilvl w:val="0"/>
          <w:numId w:val="1"/>
        </w:numPr>
        <w:spacing w:line="360" w:lineRule="auto"/>
        <w:ind w:left="720" w:hanging="360"/>
        <w:rPr>
          <w:rFonts w:ascii="Arial" w:cs="Arial" w:eastAsia="Arial" w:hAnsi="Arial"/>
          <w:u w:val="none"/>
        </w:rPr>
      </w:pPr>
      <w:r w:rsidDel="00000000" w:rsidR="00000000" w:rsidRPr="00000000">
        <w:rPr>
          <w:rFonts w:ascii="Arial" w:cs="Arial" w:eastAsia="Arial" w:hAnsi="Arial"/>
          <w:rtl w:val="0"/>
        </w:rPr>
        <w:t xml:space="preserve">CAMBRIDGE. (</w:t>
      </w:r>
      <w:r w:rsidDel="00000000" w:rsidR="00000000" w:rsidRPr="00000000">
        <w:rPr>
          <w:rFonts w:ascii="Arial" w:cs="Arial" w:eastAsia="Arial" w:hAnsi="Arial"/>
          <w:rtl w:val="0"/>
        </w:rPr>
        <w:t xml:space="preserve">Application of the Convention on the Prevention and Punishment of the Crime of Genocide (Croatia v. Serbia) (I.C.J.)). [online]. Available on: </w:t>
      </w:r>
      <w:hyperlink r:id="rId11">
        <w:r w:rsidDel="00000000" w:rsidR="00000000" w:rsidRPr="00000000">
          <w:rPr>
            <w:rFonts w:ascii="Arial" w:cs="Arial" w:eastAsia="Arial" w:hAnsi="Arial"/>
            <w:color w:val="1155cc"/>
            <w:u w:val="single"/>
            <w:rtl w:val="0"/>
          </w:rPr>
          <w:t xml:space="preserve">https://www.cambridge.org/core/journals/international-legal-materials/article/application-of-the-convention-on-the-prevention-and-punishment-of-the-crime-of-genocide-croatia-v-serbia-icj/8C4846F8953BE223DB1605F82D3437CB</w:t>
        </w:r>
      </w:hyperlink>
      <w:r w:rsidDel="00000000" w:rsidR="00000000" w:rsidRPr="00000000">
        <w:rPr>
          <w:rFonts w:ascii="Arial" w:cs="Arial" w:eastAsia="Arial" w:hAnsi="Arial"/>
          <w:rtl w:val="0"/>
        </w:rPr>
        <w:t xml:space="preserve">, consulted the 25th of June 2019. </w:t>
      </w:r>
    </w:p>
    <w:p w:rsidR="00000000" w:rsidDel="00000000" w:rsidP="00000000" w:rsidRDefault="00000000" w:rsidRPr="00000000" w14:paraId="0000004E">
      <w:pPr>
        <w:numPr>
          <w:ilvl w:val="0"/>
          <w:numId w:val="1"/>
        </w:numPr>
        <w:spacing w:line="360" w:lineRule="auto"/>
        <w:ind w:left="720" w:hanging="360"/>
        <w:rPr>
          <w:rFonts w:ascii="Arial" w:cs="Arial" w:eastAsia="Arial" w:hAnsi="Arial"/>
          <w:u w:val="none"/>
        </w:rPr>
      </w:pPr>
      <w:r w:rsidDel="00000000" w:rsidR="00000000" w:rsidRPr="00000000">
        <w:rPr>
          <w:rFonts w:ascii="Arial" w:cs="Arial" w:eastAsia="Arial" w:hAnsi="Arial"/>
          <w:rtl w:val="0"/>
        </w:rPr>
        <w:t xml:space="preserve">ALL ABOUT LAW. (Criminal Law - Actus Reus &amp; Mens Rea). [online]. Available on:</w:t>
      </w:r>
      <w:hyperlink r:id="rId12">
        <w:r w:rsidDel="00000000" w:rsidR="00000000" w:rsidRPr="00000000">
          <w:rPr>
            <w:rFonts w:ascii="Arial" w:cs="Arial" w:eastAsia="Arial" w:hAnsi="Arial"/>
            <w:color w:val="1155cc"/>
            <w:u w:val="single"/>
            <w:rtl w:val="0"/>
          </w:rPr>
          <w:t xml:space="preserve">https://www.allaboutlaw.co.uk/stage/study-help/criminal-law-actus-reus-mens-rea</w:t>
        </w:r>
      </w:hyperlink>
      <w:r w:rsidDel="00000000" w:rsidR="00000000" w:rsidRPr="00000000">
        <w:rPr>
          <w:rFonts w:ascii="Arial" w:cs="Arial" w:eastAsia="Arial" w:hAnsi="Arial"/>
          <w:rtl w:val="0"/>
        </w:rPr>
        <w:t xml:space="preserve">, consulted the 25th of June 2019. </w:t>
      </w:r>
    </w:p>
    <w:p w:rsidR="00000000" w:rsidDel="00000000" w:rsidP="00000000" w:rsidRDefault="00000000" w:rsidRPr="00000000" w14:paraId="0000004F">
      <w:pPr>
        <w:numPr>
          <w:ilvl w:val="0"/>
          <w:numId w:val="1"/>
        </w:numPr>
        <w:spacing w:line="360" w:lineRule="auto"/>
        <w:ind w:left="720" w:hanging="360"/>
        <w:rPr>
          <w:rFonts w:ascii="Arial" w:cs="Arial" w:eastAsia="Arial" w:hAnsi="Arial"/>
          <w:u w:val="none"/>
        </w:rPr>
      </w:pPr>
      <w:r w:rsidDel="00000000" w:rsidR="00000000" w:rsidRPr="00000000">
        <w:rPr>
          <w:rFonts w:ascii="Arial" w:cs="Arial" w:eastAsia="Arial" w:hAnsi="Arial"/>
          <w:rtl w:val="0"/>
        </w:rPr>
        <w:t xml:space="preserve">APPLICATION OF THE GENOCIDE CONVENTION. [online]. Available on: </w:t>
      </w:r>
      <w:hyperlink r:id="rId13">
        <w:r w:rsidDel="00000000" w:rsidR="00000000" w:rsidRPr="00000000">
          <w:rPr>
            <w:rFonts w:ascii="Arial" w:cs="Arial" w:eastAsia="Arial" w:hAnsi="Arial"/>
            <w:color w:val="1155cc"/>
            <w:u w:val="single"/>
            <w:rtl w:val="0"/>
          </w:rPr>
          <w:t xml:space="preserve">https://pdfs.semanticscholar.org/d608/a56665bea280c1558fff4c1958dab1efb3e8.pdf</w:t>
        </w:r>
      </w:hyperlink>
      <w:r w:rsidDel="00000000" w:rsidR="00000000" w:rsidRPr="00000000">
        <w:rPr>
          <w:rFonts w:ascii="Arial" w:cs="Arial" w:eastAsia="Arial" w:hAnsi="Arial"/>
          <w:rtl w:val="0"/>
        </w:rPr>
        <w:t xml:space="preserve">, consulted the 3rd of July 2019. </w:t>
      </w: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upp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upperRoman"/>
      <w:lvlText w:val="%1."/>
      <w:lvlJc w:val="left"/>
      <w:pPr>
        <w:ind w:left="720" w:hanging="720"/>
      </w:pPr>
      <w:rPr>
        <w:b w:val="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www.cambridge.org/core/journals/international-legal-materials/article/application-of-the-convention-on-the-prevention-and-punishment-of-the-crime-of-genocide-croatia-v-serbia-icj/8C4846F8953BE223DB1605F82D3437CB" TargetMode="External"/><Relationship Id="rId10" Type="http://schemas.openxmlformats.org/officeDocument/2006/relationships/hyperlink" Target="https://www.icj-cij.org/en/case/118" TargetMode="External"/><Relationship Id="rId13" Type="http://schemas.openxmlformats.org/officeDocument/2006/relationships/hyperlink" Target="https://pdfs.semanticscholar.org/d608/a56665bea280c1558fff4c1958dab1efb3e8.pdf" TargetMode="External"/><Relationship Id="rId12" Type="http://schemas.openxmlformats.org/officeDocument/2006/relationships/hyperlink" Target="https://www.allaboutlaw.co.uk/stage/study-help/criminal-law-actus-reus-mens-rea"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pdfs.semanticscholar.org/d608/a56665bea280c1558fff4c1958dab1efb3e8.pdf" TargetMode="Externa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s://www.icj-cij.org/en/case/118" TargetMode="External"/><Relationship Id="rId8" Type="http://schemas.openxmlformats.org/officeDocument/2006/relationships/hyperlink" Target="https://www.ohchr.org/en/professionalinterest/pages/crimeofgenocide.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